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pStyle w:val="P0"/>
        <w:rPr>
          <w:rFonts w:ascii="Times New Roman" w:hAnsi="Times New Roman"/>
          <w:b w:val="1"/>
        </w:rPr>
      </w:pPr>
      <w:r>
        <w:rPr>
          <w:rFonts w:ascii="Times New Roman" w:hAnsi="Times New Roman"/>
          <w:b w:val="1"/>
          <w:noProof w:val="1"/>
          <w:lang w:val="en-US"/>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VARAŽDINSKA ŽUPANIJA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OPĆINA SVETI ĐURĐ</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Općinski načelnik </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400-05/25-01/1</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 xml:space="preserve"> 2186-21-04-25-1</w:t>
      </w:r>
    </w:p>
    <w:p>
      <w:pPr>
        <w:spacing w:lineRule="auto" w:line="240" w:after="0" w:beforeAutospacing="0" w:afterAutospacing="0"/>
        <w:pStyle w:val="P0"/>
        <w:rPr>
          <w:rFonts w:ascii="Times New Roman" w:hAnsi="Times New Roman"/>
          <w:i w:val="1"/>
        </w:rPr>
      </w:pPr>
      <w:r>
        <w:rPr>
          <w:rFonts w:ascii="Times New Roman" w:hAnsi="Times New Roman"/>
          <w:sz w:val="24"/>
        </w:rPr>
        <w:t xml:space="preserve">Sveti Đurđ, </w:t>
      </w:r>
      <w:r>
        <w:rPr>
          <w:rFonts w:ascii="Times New Roman" w:hAnsi="Times New Roman"/>
          <w:noProof w:val="1"/>
          <w:sz w:val="24"/>
        </w:rPr>
        <w:t>13</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veljače</w:t>
      </w:r>
      <w:r>
        <w:rPr>
          <w:rFonts w:ascii="Times New Roman" w:hAnsi="Times New Roman"/>
          <w:noProof w:val="1"/>
          <w:sz w:val="24"/>
        </w:rPr>
        <w:t xml:space="preserve"> </w:t>
      </w:r>
      <w:r>
        <w:rPr>
          <w:rFonts w:ascii="Times New Roman" w:hAnsi="Times New Roman"/>
          <w:sz w:val="24"/>
        </w:rPr>
        <w:t>2025.</w:t>
      </w:r>
    </w:p>
    <w:p>
      <w:pPr>
        <w:spacing w:lineRule="auto" w:line="240" w:after="0" w:beforeAutospacing="0" w:afterAutospacing="0"/>
        <w:pStyle w:val="P0"/>
        <w:rPr>
          <w:rFonts w:ascii="Times New Roman" w:hAnsi="Times New Roman"/>
          <w:i w:val="1"/>
        </w:rPr>
      </w:pPr>
    </w:p>
    <w:p>
      <w:pPr>
        <w:spacing w:lineRule="auto" w:line="240" w:after="0" w:beforeAutospacing="0" w:afterAutospacing="0"/>
        <w:pStyle w:val="P0"/>
        <w:rPr>
          <w:rFonts w:ascii="Times New Roman" w:hAnsi="Times New Roman"/>
          <w:i w:val="1"/>
        </w:rPr>
      </w:pP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Broj RKP-a: 31430</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Matični broj: </w:t>
      </w:r>
      <w:r>
        <w:rPr>
          <w:rFonts w:ascii="Times New Roman" w:hAnsi="Times New Roman"/>
          <w:b w:val="0"/>
          <w:i w:val="0"/>
          <w:caps w:val="0"/>
          <w:smallCaps w:val="0"/>
          <w:strike w:val="0"/>
          <w:noProof w:val="0"/>
          <w:vanish w:val="0"/>
          <w:color w:val="auto"/>
          <w:sz w:val="24"/>
          <w:u w:val="none"/>
          <w:shd w:val="clear" w:color="auto" w:fill="auto"/>
          <w:vertAlign w:val="baseline"/>
          <w:lang/>
        </w:rPr>
        <w:t>02657368</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Naziv obveznika: OPĆINA SVETI ĐURĐ</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Pošta i mjesto: 42233 SVETI ĐURĐ</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Ulica i kućni broj: Braće Radića 1</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Razina: 22</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Šifra djelatnosti: 8411</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Razdjel: 000</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grada/općine: 437</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IBAN:HR5023600001843700004</w:t>
      </w: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jc w:val="lef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p>
    <w:p>
      <w:pPr>
        <w:widowControl w:val="1"/>
        <w:suppressAutoHyphens w:val="1"/>
        <w:bidi w:val="0"/>
        <w:jc w:val="left"/>
        <w:spacing w:lineRule="auto" w:line="240" w:beforeAutospacing="0" w:afterAutospacing="0"/>
        <w:ind w:left="0" w:right="-850"/>
        <w:pStyle w:val="P0"/>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PREDMET: Bilješke uz financijske izvještaje za razdoblje </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od 01.01. do 31.12.2024. godine</w:t>
      </w:r>
    </w:p>
    <w:p>
      <w:pPr>
        <w:widowControl w:val="1"/>
        <w:suppressAutoHyphens w:val="1"/>
        <w:bidi w:val="0"/>
        <w:jc w:val="left"/>
        <w:spacing w:lineRule="auto" w:line="240" w:beforeAutospacing="0" w:afterAutospacing="0"/>
        <w:ind w:left="0" w:right="0"/>
        <w:pStyle w:val="P0"/>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jc w:val="left"/>
        <w:spacing w:lineRule="auto" w:line="240" w:beforeAutospacing="0" w:afterAutospacing="0"/>
        <w:ind w:left="0" w:right="0"/>
        <w:pStyle w:val="P0"/>
        <w:rPr>
          <w:rFonts w:ascii="Times New Roman" w:hAnsi="Times New Roman"/>
          <w:b w:val="1"/>
          <w:i w:val="0"/>
          <w:caps w:val="0"/>
          <w:smallCaps w:val="0"/>
          <w:strike w:val="0"/>
          <w:noProof w:val="0"/>
          <w:vanish w:val="0"/>
          <w:color w:val="auto"/>
          <w:sz w:val="24"/>
          <w:u w:val="single"/>
          <w:shd w:val="clear" w:color="auto" w:fill="auto"/>
          <w:vertAlign w:val="baseline"/>
          <w:lang/>
        </w:rPr>
      </w:pPr>
      <w:r>
        <w:rPr>
          <w:rFonts w:ascii="Times New Roman" w:hAnsi="Times New Roman"/>
          <w:b w:val="1"/>
          <w:i w:val="0"/>
          <w:caps w:val="0"/>
          <w:smallCaps w:val="0"/>
          <w:strike w:val="0"/>
          <w:noProof w:val="0"/>
          <w:vanish w:val="0"/>
          <w:color w:val="auto"/>
          <w:sz w:val="24"/>
          <w:u w:val="single"/>
          <w:shd w:val="clear" w:color="auto" w:fill="auto"/>
          <w:vertAlign w:val="baseline"/>
          <w:lang/>
        </w:rPr>
        <w:t xml:space="preserve">Bilješke uz Izvještaj o prihodima i rashodima, primicima i izdacima</w:t>
      </w:r>
    </w:p>
    <w:p>
      <w:pPr>
        <w:widowControl w:val="1"/>
        <w:suppressAutoHyphens w:val="1"/>
        <w:bidi w:val="0"/>
        <w:jc w:val="both"/>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Pojašnjenja za svako povećanje i smanjenje prihoda i rashoda iznad 10% za 2024.godinu u odnosu na ostvarene prihode i izvršene rashode u istom razdoblju prethodne godine, te svaki nastali novi prihod ili rashod, a kojeg prethodne godine nije bilo po skupinama računa:</w:t>
      </w: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61 – PRIHODI OD POREZA</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–pod ovom skupinom prihoda veći su prihodi nego u istom razdoblju prethodne godine i to na računu 6112 – porez i prirez na dohodak od samostalnih djelatnosti, računu 6113 – porez i prirez na dohodak od imovine i imovinskih prava i računu 6114 – porez i prirez na dohodak od kapitala – jer je uplaćeno više poreza za određene djelatnosti u odnosu na prethodnu godinu. Račun 6117- povrat poreza i prireza na dohodak po godišnjoj prijavi samo je malo veći u odnosu na prethodnu godinu iz razloga jer je na području naše općine nešto više građana koji su podnijeli zahtjev, odnosno imali pravo na povrat poreza. Na računu 6134 – povremeni porezi na imovinu – su porezi na promet nekretninama i nešto su veći nego u istom razdoblju prethodne godine, jer je na području općine više ljudi koji su kupili nek</w:t>
      </w:r>
      <w:r>
        <w:rPr>
          <w:rFonts w:ascii="Times New Roman" w:hAnsi="Times New Roman"/>
          <w:b w:val="0"/>
          <w:i w:val="0"/>
          <w:caps w:val="0"/>
          <w:smallCaps w:val="0"/>
          <w:strike w:val="0"/>
          <w:noProof w:val="0"/>
          <w:vanish w:val="0"/>
          <w:color w:val="auto"/>
          <w:sz w:val="24"/>
          <w:u w:val="none"/>
          <w:shd w:val="clear" w:color="auto" w:fill="auto"/>
          <w:vertAlign w:val="baseline"/>
          <w:lang/>
        </w:rPr>
        <w:t>retnine.</w:t>
      </w:r>
    </w:p>
    <w:p>
      <w:pPr>
        <w:widowControl w:val="1"/>
        <w:suppressAutoHyphens w:val="1"/>
        <w:bidi w:val="0"/>
        <w:contextualSpacing w:val="1"/>
        <w:jc w:val="both"/>
        <w:ind w:firstLine="357" w:left="720"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64 – PRIHODI OD IMOVINE</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šifra računa 6414 – prihodi od zateznih kamata – prihod nastao u 2024.godini je prihod od obračunatih zateznih kamata prema rješenju za ovrhu od strane jedne fizičke osobe za komunalnu i vodnu naknadu. Šifra računa 6423 – naknada za korištenje nefinancijske imovine – ovi prihodi su također nešto veći nego u istom razdoblju prethodne godine jer je u 2024.godini naplaćena naknada za eksploataciju mineralnih sirovina od strane jedne pravne osobe za 2023.godinu, te također naknada od strane dviju pravnih osoba za 2024.godinu.</w:t>
      </w:r>
    </w:p>
    <w:p>
      <w:pPr>
        <w:widowControl w:val="1"/>
        <w:suppressAutoHyphens w:val="1"/>
        <w:bidi w:val="0"/>
        <w:contextualSpacing w:val="1"/>
        <w:jc w:val="both"/>
        <w:ind w:firstLine="357" w:left="720"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65 – PRIHODI OD UPRAVNIH I ADMINISTRATIVNIH PRISTOJBI, PRISTOJBI PO POSEBNIM PROPISIMA I NAKNADA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šifra računa 6524 – doprinosi za šume – ovdje se nalazi najveće odstupanje od svih prihoda u odnosu na prethodnu godinu jer se ove godine vršila sjeća veće količine od strane Hrvatskih šuma. Na računu 6526 – ostali nespomenuti prihodi – ovi prihodi su veći u odnosu na isto izvještajno razdoblje prethodne godine iz razloga jer općina naplaćuje potrošnju plina za korištenje društvenih domova po mjesnim odborima, dok to nije bio slučaj prethodnih godina. Ostali prihodi na ovom računu odnose se na potrošnju vode koji se uplaćuju u proračun od strane zakupaca poslovnih prostora. Na računu 6531 – komunalni doprinosi – su prihodi od naplate komunalnog doprinosa koji se obračunava za novo izgrađene objekte, a u 2023.godini bili su u puno većem iznosu naplaćeni iz razloga izgradnje građevine gospodarske namjene (proizvodno poslovna) – kompleks farme za tov pilića ukupnog obujma 72.789,83 m3 od strane jednog trgovačkog društva. </w:t>
      </w:r>
    </w:p>
    <w:p>
      <w:pPr>
        <w:widowControl w:val="1"/>
        <w:suppressAutoHyphens w:val="1"/>
        <w:bidi w:val="0"/>
        <w:contextualSpacing w:val="1"/>
        <w:jc w:val="both"/>
        <w:ind w:firstLine="357" w:left="720"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66 – PRIHODI OD PRODAJE PROIZVODA I ROBE TE PRUŽENIH USLUGA I PRIHODI OD DONACIJA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na šifri računa 6631 – tekuće donacije – u prethodnoj godini uplaćene su bile donacije od strane nekoliko pravnih osoba za sponzorstvo povodom Dana općine,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dok u ovoj godini uplata nije bilo.</w:t>
      </w:r>
    </w:p>
    <w:p>
      <w:pPr>
        <w:widowControl w:val="1"/>
        <w:suppressAutoHyphens w:val="1"/>
        <w:bidi w:val="0"/>
        <w:contextualSpacing w:val="1"/>
        <w:jc w:val="both"/>
        <w:ind w:firstLine="357"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68 – KAZNE, UPRAVNE MJERE I OSTALI PRIHODI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6817 – kazne za prekršaje na kulturnim dobrima – je prihod od naplaćene kazne za nezakonito odlaganje komunalnog otpada od strane jedne fizičke osobe u prethodnoj godini, dok je u ovoj godini kazna bila naplaćena u manjem iznosu. Šifra računa 683 – ostali prihodi – na ovoj stavci je u 2023.godini bilo više povrata duplo uplaćenih sredstava, nego ove godine, te povrata sredstava iz zakonskih razloga (zatvoreni računi pojedinih osoba).</w:t>
      </w:r>
    </w:p>
    <w:p>
      <w:pPr>
        <w:widowControl w:val="1"/>
        <w:suppressAutoHyphens w:val="1"/>
        <w:bidi w:val="0"/>
        <w:contextualSpacing w:val="1"/>
        <w:jc w:val="both"/>
        <w:ind w:left="643"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71 – PRIHODI OD PRODAJE NEPROIZVEDENE DUGOTRAJNE IMOVINE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7111 -  zemljište – prihod na ovoj stavci je od prodaje poljoprivrednog zemljišta u vlasništvu općine u 2024.godini, a odnosi se na prodaju zemljišta nekoliko fizičkih osoba, dok je u prethodnoj godini izvršena prodaja građevinskog zemljišta jednoj fizičkoj osobi.</w:t>
      </w: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72 – PRIHODI OD PRODAJE PROIZVEDENE DUGOTRAJNE IMOVINE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šifra računa 7211 – stambeni objekti – u prethodnoj godini uplaćena je bila preostala rata za otplatu stana od strane fizičke osobe, dok u ovoj godini prihoda na ovoj skupini računa n</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ije bilo.</w:t>
      </w:r>
    </w:p>
    <w:p>
      <w:pPr>
        <w:widowControl w:val="1"/>
        <w:suppressAutoHyphens w:val="1"/>
        <w:bidi w:val="0"/>
        <w:contextualSpacing w:val="1"/>
        <w:jc w:val="both"/>
        <w:ind w:left="643"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jc w:val="both"/>
        <w:spacing w:lineRule="auto" w:line="240" w:beforeAutospacing="0" w:afterAutospacing="0"/>
        <w:ind w:left="357"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Ukupni rashodi i izdaci ostvareni su u nešto većem iznosu nego u istom razdoblju prethodne godine, a veća odstupanja nalaze se na slijedećim pozicijama: </w:t>
      </w:r>
    </w:p>
    <w:p>
      <w:pPr>
        <w:widowControl w:val="1"/>
        <w:suppressAutoHyphens w:val="1"/>
        <w:bidi w:val="0"/>
        <w:jc w:val="both"/>
        <w:spacing w:lineRule="auto" w:line="240" w:beforeAutospacing="0" w:afterAutospacing="0"/>
        <w:ind w:firstLine="357"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31 - RASHODI ZA ZAPOSLENE</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na šifri računa 3111 – plaće za redovan rad i 3112- plaće u naravi – ovi rashodi veći su nego u istom razdoblju prethodne godine iz razloga povećanja koeficijenata krajem prošle godine za sve zaposlenike, te novo zaposlenje jednog vježbenika, kao i jednog komunalnog djelatnika na održavanju na pola radnog vremena u trajanju od 6 mjeseci ove godine. Na računu 312 – ostali rashodi za zaposlene – veće je odstupanje u odnosu na prethodnu godinu, jer su se od 01.01.2024.godine povećali neoporezivi iznosi primitaka (regres za godišnji odmor, uskrsnica, božićnica) koji se može isplatiti radniku tokom godine, te se ove godine izvršila isplata naknade za smrtni slučaj za člana obitelji za dva djelatnika, kao i isplata jubilarne nagrade za jednog djelatnika koji ima 30 godina rada na općini. Također na računima 3131 i 3132 – doprinosi za mirovinsko i zdravstveno osiguranje je povećanje u odnosu na prethodnu godinu iz istog razloga povećanja plaća djelatnika od 01.01.2024.godine.</w:t>
      </w:r>
    </w:p>
    <w:p>
      <w:pPr>
        <w:widowControl w:val="1"/>
        <w:suppressAutoHyphens w:val="1"/>
        <w:bidi w:val="0"/>
        <w:jc w:val="both"/>
        <w:spacing w:lineRule="auto" w:line="240" w:beforeAutospacing="0" w:afterAutospacing="0"/>
        <w:ind w:firstLine="357" w:left="0" w:right="0"/>
        <w:pStyle w:val="P0"/>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32 – MATERIJALNI RASHODI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3211 – službena putovanja – veće odstupanje nalazi se na ovoj stavci, a odnosi se na naknade za prijevoz na službenom putu i cestarinu za dva djelatnika općine, dok su u prethodnoj godini ovi izdaci bili manji. Šifra računa 3212 – naknade za prijevoz, za rad na terenu i odvojeni život – ovi rashodi odnose se na naknadu za prijevoz na posao i s posla, a veći su nego prethodne godine zbog zaposlenog jednog novog djelatnika i zbog donesenog novog Pravilnika o radu Jedinstvenog upravnog odjela po kojem se od 2024.godine razlikuju  naknade z</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a prijevoz u odnosu na 2023.godinu.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3213 – stručno usavršavanje zaposlenika – ovaj rashod veći je nego prethodne godine, a odnosi se na dva održana webinara – radionice iz područja EOJNA i fiskalne odgovornosti za djelatnike općine. Na računu 3214 su rashodi ostvareni u većem iznosu nego prethodne godine, jer se ove godine koristila naknada troškova zaposlenima  nego u istom razdoblju prethodne godine. Na šiframa računa 3221 – uredski materijal i ostali materijalni rashodi, 3222 – materijal i sirovine i 3224 – materijal i dijelovi za tekuće i investicijsko održavanje – veći su rashodi ove godine za nabavu potrošnog materijala za potrebe komunalnog odjela i za pojedine mjesne odbore, te nabavku goriva za kosilice, zbog poskupljenja energenata u ovoj godini, dok tolikog poskupljenja u istom razdoblju prethodne godine nije bilo. Na računu 3225 – sitni inventar i auto gume – manji su rashodi nego prethodne godine zbog manje potrošnje sitnog inventara koji se u prošloj godini nabavljao za opremanje nove svečane dvorane općine. Veći rash</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od u 2024.godini je na računu 3227 – službena, radna i zaštitna odjeća i obuća -  a odnosi se na nabavu radne obuće i odjeće za djelatnike komunalnog odjela općine, dok istog rashoda prošle godine nije bilo. Šifra računa 3232 – usluge tekućeg i investicijskog održavanja – veći su rashodi u odnosu na prošlu godinu, jer je ove godine puno više radova po pojedinim društvenim domovima i grobnim kućama (soboslikarski radovi, izvođenje instalacije klima uređaja, popravak javne rasvjete, elektroinstalaterski radovi, keramičarski radovi…). Šifra računa 3234 – komunalne usluge – veći su rashodi ove godine jer se vršilo šljunčanje poljskih puteva, te uređenje divljih odlagališta otpada u većem obimu nego prethodne godine.  Šifra računa 3235 – zakupnine i najamnine – nalaze se rashodi za sufinanciranje najma izgradnje OŠ po javno privatnom partnerstvu, a nešto su veći zbog povećanja cijene najma. Na računu 3236 – zdravstvene i veterinarske usluge – povećanje ovih rashoda u odnosu na prethodnu godinu je iz razloga većeg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broja zbrinjavanja pasa lutalica po sklopljenom ugovoru sa veterinarskom stanicom. Šifra računa 3293 – reprezentacija – izdaci za reprezentaciju manji su nego prethodne godine iz razloga manjih troškova povodom Dana općine. Šifra računa 3294 – članarine i norme – izdatak za članski doprinos u prethodnoj godini plaćen je u prvih devet mjeseci, dok u ovoj godini nije bio uplaćen u istom razdoblju. Račun 3295 – pristojbe i naknade – puno je veći rashod nego prethodne godine, a odnosi se na izlazak na teren sudske komisije, te plaćanje RTV pristojbe koja se do sad knjižila na drugom računu. Šifra računa 3299 – ostali nespomenuti rashodi poslovanja – pod ovim rashodima nalaze se izdaci za organizaciju održavanja Dana općine „Đurđevo 2024“ (koncerti, likovna kolonija kazališne predstave, natjecanje u kuhanju kotlića…), jer u prethodnoj godini veće proslave Dana općine nije bilo.</w:t>
      </w:r>
    </w:p>
    <w:p>
      <w:pPr>
        <w:widowControl w:val="1"/>
        <w:suppressAutoHyphens w:val="1"/>
        <w:bidi w:val="0"/>
        <w:contextualSpacing w:val="1"/>
        <w:jc w:val="both"/>
        <w:ind w:left="643"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34 – FINANCIJSKI RASHODI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šifra računa 3431</w:t>
      </w:r>
      <w:r>
        <w:rPr>
          <w:rFonts w:ascii="Times New Roman" w:hAnsi="Times New Roman"/>
          <w:b w:val="1"/>
          <w:i w:val="0"/>
          <w:caps w:val="0"/>
          <w:smallCaps w:val="0"/>
          <w:strike w:val="0"/>
          <w:noProof w:val="0"/>
          <w:vanish w:val="0"/>
          <w:color w:val="auto"/>
          <w:sz w:val="24"/>
          <w:u w:val="none"/>
          <w:shd w:val="clear" w:color="auto" w:fill="auto"/>
          <w:vertAlign w:val="baseline"/>
          <w:lang/>
        </w:rPr>
        <w:t>-</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bankarske usluge i usluge platnog promet</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a – povećanje usluga u odnosu na isto razdoblje prethodne godine je zbog povećanja bankarskih usluga i usluga platnog prometa. Šifra računa 3434 – ostali nespomenuti financijski rashodi – smanjenje rashoda u odnosu na 2023.godinu odnosi se na povrat jamstva za ozbiljnost ponude – oprema za dječji vrtić po javnoj nabavi i na izdatke za održane izbore za članove vijeća nacionalnih manjina na području Općine u mjesecu svibnju 2023.godine, dok u prvoj polovici 2024.godine nije bilo istih rashoda.</w:t>
      </w:r>
    </w:p>
    <w:p>
      <w:pPr>
        <w:widowControl w:val="1"/>
        <w:suppressAutoHyphens w:val="1"/>
        <w:bidi w:val="0"/>
        <w:contextualSpacing w:val="1"/>
        <w:jc w:val="both"/>
        <w:ind w:firstLine="357" w:left="720" w:right="0"/>
        <w:pStyle w:val="P2"/>
        <w:rPr>
          <w:rFonts w:ascii="Calibri" w:hAnsi="Calibri"/>
          <w:b w:val="0"/>
          <w:i w:val="0"/>
          <w:caps w:val="0"/>
          <w:smallCaps w:val="0"/>
          <w:strike w:val="0"/>
          <w:noProof w:val="0"/>
          <w:vanish w:val="0"/>
          <w:color w:val="auto"/>
          <w:sz w:val="22"/>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a 35 – SUBVENCIJE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na šifri računa 3512 – subvencije trgovačkim društvima u javnom sektoru je novi izdatak u 2024.godini za sufinanciranje cijene boravka djeteta u vrtićima izvan općine, dok istog izdatka u prethodnoj godini nije bilo.</w:t>
      </w:r>
    </w:p>
    <w:p>
      <w:pPr>
        <w:widowControl w:val="1"/>
        <w:suppressAutoHyphens w:val="1"/>
        <w:bidi w:val="0"/>
        <w:contextualSpacing w:val="1"/>
        <w:jc w:val="both"/>
        <w:ind w:firstLine="357" w:left="720" w:right="0"/>
        <w:pStyle w:val="P2"/>
        <w:rPr>
          <w:rFonts w:ascii="Calibri" w:hAnsi="Calibri"/>
          <w:b w:val="0"/>
          <w:i w:val="0"/>
          <w:caps w:val="0"/>
          <w:smallCaps w:val="0"/>
          <w:strike w:val="0"/>
          <w:noProof w:val="0"/>
          <w:vanish w:val="0"/>
          <w:color w:val="auto"/>
          <w:sz w:val="22"/>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36 – POMOĆI DANE U INOZEMSTVO I UNUTAR OPĆEG PRORAČUNA</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šifra računa 3672 – prijenosi proračunskim korisnicima iz nadležnog proračuna za financiranje rashoda poslovanja – ovi rashodi su veći nego u istom razdoblju prethodne godine iz razloga jer su porasli troškovi poslovanja, hrane i energenata u odnosu na isto razdoblje prethodne godine, te dječji vrtić ima više zaposlenih djelatnika u odnosu na isto razdoblje prethodne godine.</w:t>
      </w:r>
    </w:p>
    <w:p>
      <w:pPr>
        <w:widowControl w:val="1"/>
        <w:suppressAutoHyphens w:val="1"/>
        <w:bidi w:val="0"/>
        <w:contextualSpacing w:val="1"/>
        <w:jc w:val="both"/>
        <w:ind w:left="643"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 </w:t>
      </w: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37 – NAKNADE GRAĐANIMA I KUĆANSTVIMA NA        TEMELJU OSIGURAN</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JA I DRUGE NAKNADE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3721 – naknade građanima i kućanstvima u novcu – ovi rashodi su nešto veći nego prethodne godine iz razloga povećanja naknada za novorođenu djecu, te povećanja iznosa poklon bonova umirovljenicima prigodom Božića. Šifra računa 3722 – naknade građanima i kućanstvima u naravi – ovaj rashod odnosi se na pomoć mladim obiteljima pri kupnji ili adaptaciji stambenog objekta na temelju javnog poziva, te se u prošloj godini na javni poziv  javio manji broj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korisnika nego ove godine.</w:t>
      </w:r>
    </w:p>
    <w:p>
      <w:pPr>
        <w:widowControl w:val="1"/>
        <w:suppressAutoHyphens w:val="1"/>
        <w:bidi w:val="0"/>
        <w:contextualSpacing w:val="1"/>
        <w:jc w:val="both"/>
        <w:ind w:left="720" w:right="0"/>
        <w:pStyle w:val="P2"/>
        <w:rPr>
          <w:rFonts w:ascii="Calibri" w:hAnsi="Calibri"/>
          <w:b w:val="0"/>
          <w:i w:val="0"/>
          <w:caps w:val="0"/>
          <w:smallCaps w:val="0"/>
          <w:strike w:val="0"/>
          <w:noProof w:val="0"/>
          <w:vanish w:val="0"/>
          <w:color w:val="auto"/>
          <w:sz w:val="22"/>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38 – OSTALI RASHODI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na šifri računa 3811 – tekuće donacije u novcu – ovi rashodi su nešto veći nego prethodne godine u isto vrijeme iz razloga veće isplate iz proračuna po natječaju za financiranje udruga građana u 2024.godini, kao i veće isplate za financiranje Zajednice športskih udruga u prvoj polovici 2024.godine. Račun 3831 – naknade šteta pravnim i fizičkim osobama – u 2023.godini na ovom računu bila je isplata naknade kućanstvima za štetu od tuče na stambenim objektima, dok u 2024.godini nije bilo takvih isplata, osim za naknadu štete od olujnog nevremena prema jednoj fizičkoj osobi. Na računu 3835 – ostale kazne – nova je stavka u 2023.godini, a odnosi se na naknadu za nezakonito izgrađene zgrade koja se uplaćuje u općinski proračun u određenom postotku.</w:t>
      </w:r>
    </w:p>
    <w:p>
      <w:pPr>
        <w:widowControl w:val="1"/>
        <w:suppressAutoHyphens w:val="1"/>
        <w:bidi w:val="0"/>
        <w:contextualSpacing w:val="1"/>
        <w:jc w:val="both"/>
        <w:ind w:firstLine="357"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skupina računa 42 – RASHODI ZA NABAVU PROIZVEDENE DUGOTRAJNE IMOVINE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Novi račun u 2024.godini 4211 – stambeni objekti – odnosi se na kupnju nekretnine od fizičke osobe (kuća sa okućnicom) za potrebe preseljenja cijelog komunalnog odjela na u lokaciju sa svim strojevima u vlasništvu općine. Račun 4212 – poslovni objekti – povećanje rashoda u odnosu na prethodnu godinu odnosi se na početak građenja umirovljeničkog doma i radove na uređenju jednog poslovnog prostora u vlasništvu općine. Šifra računa 4213 – ceste, željeznice i ostali prometni objekti – ovi izdaci veći su nego prethodne godine jer su u prvoj polovici ove godine započeli radovi na asfaltiranju prilazne ceste UK4 – dom za starije i nemoćne osobe, kao i asfaltiranje prilaznih cesta prema dvjema Romskim naseljima na području općine, asfaltiranje pješačko-biciklističke staze u dva naselja općine, te izgradnju uzdignute plohe-pješački prijelaz u jednom mjesnom odboru.</w:t>
      </w:r>
    </w:p>
    <w:p>
      <w:pPr>
        <w:widowControl w:val="1"/>
        <w:suppressAutoHyphens w:val="1"/>
        <w:bidi w:val="0"/>
        <w:jc w:val="both"/>
        <w:spacing w:lineRule="auto" w:line="240" w:beforeAutospacing="0" w:afterAutospacing="0"/>
        <w:ind w:left="643" w:right="0"/>
        <w:pStyle w:val="P0"/>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Šifra računa 4221 – uredska oprema i namještaj – veći su rashodi u prvoj polovici ove godine u odnosu na prethodnu jer se nabavio konferencijski stol, te dekorativno staklo za konferencijski stol u svečanoj dvorani u poslovnom prostoru općine, te nabava stolica također za svečanu dvoranu. Na šifri računa 4222 – komunikacijska oprema – nova je stavka u 2024.godini za nabavu i ugradnju kamera na odlagalištu smeća u jednom mjesnom odboru. Šifra računa 4223 – oprema za održavanje i zaštitu – odnosi se na nabavu  više klima uređaja u prostorijama društvenih domova, te nabavu novog usisavača za čišćenje prostorija, dok je u prethodnoj godini nabavljeno nešto više uređaja.Nova stavka na kontu 4224 – medicinska i laboratorijska oprema – u 2024.godini počela je ponovno sa radom ordinacija obiteljske medicine, te je nabavljena nova medicinska oprema (uređaji) koja je nedostajala u ordinaciji. Šifra računa 4226 – sportska i glazbena oprema – izdatak je za nabavu malih golova za dječje igralište, te zvučnika i mikrofona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za potrebe dječjeg vrtića, a u prethodnoj godini nabavljeno je više sportske opreme. Šifra računa 4227-uređaji, strojevi i oprema za ostale namjene – u prethodnoj godini u istom razdoblju  na ovom računu bilo je više nabavljene opreme,  dok se u 2024.godini nabavila samo jedna traktorska kosilica i čistač šikare, jarboli s nosačem, te viseći ormarić s kliznim vratima za jedan društveni dom. Šifra računa 4242 –  u 2023.godini rashod na ovom računu je za izradu okvira na slikama koje su nastale na održanoj likovnoj koloniji povodom obilježavanja Dana općine, dok u 2024.godini nije bilo istog rashoda. Šifra računa 4263 – rashod na ovom računu odnosi se na 5. izmjene i dopune prostornog plana općine po fazama izrade.</w:t>
      </w: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hanging="360" w:left="643" w:right="0"/>
        <w:numPr>
          <w:numId w:val="1"/>
        </w:numPr>
        <w:tabs>
          <w:tab w:val="left" w:pos="0" w:leader="none"/>
        </w:tabs>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na šifri računa X006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na kraju izvještajnog razdoblja ostvaren je višak prihoda i primitaka raspoloživ u sljedećem razdoblju u iznosu od 743.279,25 EUR. </w:t>
      </w: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r>
        <w:rPr>
          <w:rFonts w:ascii="Times New Roman" w:hAnsi="Times New Roman"/>
          <w:b w:val="1"/>
          <w:i w:val="0"/>
          <w:caps w:val="0"/>
          <w:smallCaps w:val="0"/>
          <w:strike w:val="0"/>
          <w:noProof w:val="0"/>
          <w:vanish w:val="0"/>
          <w:color w:val="auto"/>
          <w:sz w:val="24"/>
          <w:u w:val="single"/>
          <w:shd w:val="clear" w:color="auto" w:fill="auto"/>
          <w:vertAlign w:val="baseline"/>
          <w:lang/>
        </w:rPr>
        <w:t xml:space="preserve">Bilješke uz OBVEZE</w:t>
      </w: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Stanje obveza na dan 31.12.2024.godine iznosi ukupno 10.201,05 eura. Dospjele obveze su za materijalne rashode u iznosu od 34.478,13 eura, obveze za subvencije u iznosu od 120,00 eur, obveze za naknade građanima i kućanstvima u iznosu od 25.212,66 eura, ostale tekuće obveze u iznosu od 1.652,90 eura, te obveze za nabavu nefinancijske imovine u iznosu od 17.795,55 eura, a odnose se na neplaćene račune prema izvođačima radova i nabavljanju opreme. Stanje nedospjelih obveza na kraju izvještajnog razdoblja je plaća djelatnika za  mjesec prosinac 2024.godine koja je isplaćena u siječnju 2025.godine u iznosu od 25.941,81 eura.</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r>
        <w:rPr>
          <w:rFonts w:ascii="Times New Roman" w:hAnsi="Times New Roman"/>
          <w:b w:val="1"/>
          <w:i w:val="0"/>
          <w:caps w:val="0"/>
          <w:smallCaps w:val="0"/>
          <w:strike w:val="0"/>
          <w:noProof w:val="0"/>
          <w:vanish w:val="0"/>
          <w:color w:val="auto"/>
          <w:sz w:val="24"/>
          <w:u w:val="single"/>
          <w:shd w:val="clear" w:color="auto" w:fill="auto"/>
          <w:vertAlign w:val="baseline"/>
          <w:lang/>
        </w:rPr>
        <w:t xml:space="preserve">Bilješke uz Izvještaj o rashodima prema funkcijskoj klasifikaciji – obrazac RAS-funkcijski</w:t>
      </w: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Ovaj izvještaj popunjava se za proračunsku godinu (jedanput godišnje) prema funkcijskim klasifikacijama od 01. do 10. Obrazac je popunjen tako da podatak na šifri R1 u obrascu RAS-funkcijski mora odgovarati razlici iznosa iskazanih na šifri Y034 ( ukupni rashodi) i šifri 3672 (prijenosi proračunskim korisnicima iz nadležnog proračuna za financiranje rashoda poslovanja) u obrascu PR-RAS.</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none"/>
          <w:shd w:val="clear" w:color="auto" w:fill="auto"/>
          <w:vertAlign w:val="baseline"/>
          <w:lang/>
        </w:rPr>
      </w:pPr>
      <w:r>
        <w:rPr>
          <w:rFonts w:ascii="Times New Roman" w:hAnsi="Times New Roman"/>
          <w:b w:val="1"/>
          <w:i w:val="0"/>
          <w:caps w:val="0"/>
          <w:smallCaps w:val="0"/>
          <w:strike w:val="0"/>
          <w:noProof w:val="0"/>
          <w:vanish w:val="0"/>
          <w:color w:val="auto"/>
          <w:sz w:val="24"/>
          <w:u w:val="single"/>
          <w:shd w:val="clear" w:color="auto" w:fill="auto"/>
          <w:vertAlign w:val="baseline"/>
          <w:lang/>
        </w:rPr>
        <w:t xml:space="preserve">Bilješke uz BILANCU</w:t>
      </w:r>
    </w:p>
    <w:p>
      <w:pPr>
        <w:widowControl w:val="1"/>
        <w:suppressAutoHyphens w:val="1"/>
        <w:bidi w:val="0"/>
        <w:jc w:val="both"/>
        <w:spacing w:lineRule="auto" w:line="240" w:beforeAutospacing="0" w:afterAutospacing="0"/>
        <w:ind w:left="720" w:right="0"/>
        <w:pStyle w:val="P0"/>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-šifra 02 – PROIZVEDENA DUGOTRAJNA IMOVINA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šifra 0213 – ceste, željeznice i ostali prometni objekti je nova stavka u 2024.godini, a odnosi se</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na izgradnju i asfaltiranje pješačko-biciklističkih staza i nogostupa u tri naselja, te izgradnju prometnice UK4 za prilaz domu za starije i nemoćne na području općine.  Šifra 0214- ostali građevinski objekti –  nabavna vrijednost u odnosu na prethodnu godinu povećana je zbog radova na rekonstrukciji društvenog doma u jednom mjesnom odboru, a također i početka izgradnje doma za dnevni boravak za starije i nemoćne sa smještajnim jedinicama. Na šiframa 02921 – ispravak vrijednosti građevinskih objekata, 02922- ispravak vrijednosti postrojenja i opreme i 02923- ispravak vrijednosti prijevoznih sredstava – u odnosu na stanje 31.12.2024.godine povećava se zbog ispravljanja vrijednosti (amortizacije) opreme i prijevoznih sredstava, te ulaganje u građevinske objekte. Na računu 0221 – uredska oprema i namještaj povećana je vrijednost u odnosu na prethodnu godinu zbog nabave jednog novog računala i namještaja za svečanu salu općine. Na računu 0222- komunikacijska oprema – dolazi do povećanja u odnosu na prethodnu god</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inu zbog nabave dviju kamera za odlagališta otpada u naseljima općine. Na računu 0223- oprema za održavanje i zaštitu – dolazi do povećanja u odnosu na prethodnu godinu zbog nabave nove opreme. Na računu 0224 – medicinska i laboratorijska oprema – u 2024.godini nabavljen je novi uređaj za ordinaciju obiteljske medicine. Na računu 0225- instrumenti, uređaji i strojevi – nabavljen je zvučnik sa mikrofonom za potrebe općine. Na šifri 0227- uređaji, strojevi i oprema za ostale namjene – povećana je vrijednost u odnosu na prethodnu godinu zbog nabave frižidera za potrebe jednog mjesnog odbora, nabavke jedne kosilice Ridera i čistača šikare (trimer), nabava novih jarbola u tri naselja općine, drvenih setova stolica i stolica za mjesne odbore, kao i nabava pogrebne opreme za tri grobne kuće na području općine. Šifra 0231 – prijevozna sredstva u cestovnom prometu – u 2024.godini nije nabavljeno novo prijevozno sredstvo, a postojeća su otpisana prema propisanim stopama.</w:t>
      </w:r>
    </w:p>
    <w:p>
      <w:pPr>
        <w:widowControl w:val="1"/>
        <w:suppressAutoHyphens w:val="1"/>
        <w:bidi w:val="0"/>
        <w:jc w:val="both"/>
        <w:ind w:hanging="360" w:left="720" w:right="0"/>
        <w:numPr>
          <w:numId w:val="2"/>
        </w:numPr>
        <w:tabs>
          <w:tab w:val="left" w:pos="0" w:leader="none"/>
        </w:tabs>
        <w:pStyle w:val="P2"/>
        <w:rPr>
          <w:rFonts w:ascii="Calibri" w:hAnsi="Calibri"/>
          <w:b w:val="0"/>
          <w:i w:val="0"/>
          <w:caps w:val="0"/>
          <w:smallCaps w:val="0"/>
          <w:strike w:val="0"/>
          <w:noProof w:val="0"/>
          <w:vanish w:val="0"/>
          <w:color w:val="auto"/>
          <w:sz w:val="22"/>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šifra 042  - SITNI INVENTAR U UPOTREBI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iznosi</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32.134,33 € što je povećanje u donosu na prethodnu godinu iz razloga što je mali dio sitnog inventara otpisan tokom 2024. godine, a dosta novog sitnog inventara je nabavljeno ( čaše, tanjuri, alati,zavjese...) Budući da se radilo o jednokratnom otpisu vri</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jednosti sitnog inventara prilikom stavljanja u upotrebu, isti je iznos prikazan na kontu  ispravka vrijednosti sitnog inventara šifra 049.</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šifra 11 – NOVAC U BANCI I BLAGAJNI</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su sredstva koja se nalaze na žiro računu i u blagajni na dan 31.12.2024.godine, a manja su nego prethodne godine zbog  početka izgradnje građevine – doma za starije početkom 2024.godine sa vlastitim sredstvima na poslovnom računu općine.</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šifra 16 – POTRAŽIVANJA ZA PRIHODE POSLOVANJA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ukupna potraživanja na dan 31.12.2024.godin</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e na šifri 16 manja su nego potraživanja prethodne godine iz razloga ispravka vrijednosti potraživanja na računu 169 ( od 1 do 3 godine ispravak je 50%, a iznad 3 godine 100%). Unutar skupine 16 pojedina potraživanja su nešto manja a druga nešto veća i to:</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šifra 164 – potraživanja za prihode od imovine – manja su nego prethodne godine, a odnose se na potraživanja od zakupa poslovnih prostora pojedinih zakupaca, potraživanja od zakupa poljoprivrednog zemljišta, te potraživanje od naknade za korištenje prosto</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ra elektrana. Šifra 165 – potraživanja za naknade – su nešto veća nego prethodne godine iz razloga obračuna jednog komunalnog doprinosa prema jednoj pravnoj osobi koji nije bio plaćen do kraja godine, dok se ostala potraživanja u manjim iznosima odnose na komunalnu naknadu i naknadu za održavanje i uređenje groblja. </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-šifra računa 23 – OBVEZE ZA RASHODE</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w:t>
      </w: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POSLOVANJA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unutar skupine računa 23 - obveze su povećane u odnosu na stanje 01.01.2024.godine i to: 232 - obveze za materijalne rashode i 237 – obveze za naknade građanima i kućanstvima na dan 31.12.2024.godine bilo je više neplaćenih računa za navedene rashode iz razloga puno više izvršenih radova po mjesnim odborima.</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-šifra računa 24 – OBVEZE ZA NABAVU NEFINANCIJSKE IMOVINE –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ova skupina računa su neplaćene obveze po računima za izvršene radove, a puno su veće nego na dan 01.01.2024.godine iz razloga početka izgradnje doma za dnevni boravak za starije i nemoćne osobe s</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a smještajnim jedinicama.</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-šifra računa 912 – ISPRAVAK VLASTITIH IZVORA ZA OBVEZE</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 povećanje ispravka vrijednosti vlastitih izvora je povećanje obveza koje su bile na dan 31.12.2024.godine po nastalim računima i ugovorima.</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1"/>
          <w:i w:val="0"/>
          <w:caps w:val="0"/>
          <w:smallCaps w:val="0"/>
          <w:strike w:val="0"/>
          <w:noProof w:val="0"/>
          <w:vanish w:val="0"/>
          <w:color w:val="auto"/>
          <w:sz w:val="24"/>
          <w:u w:val="none"/>
          <w:shd w:val="clear" w:color="auto" w:fill="auto"/>
          <w:vertAlign w:val="baseline"/>
          <w:lang/>
        </w:rPr>
        <w:t xml:space="preserve">-šifra 92211 – VIŠAK PRIHODA POSLOVANJA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 višak  prihoda na dan 31.12.2024.godine manji je nego prethodne godine, zbog početka radova na izgradnji doma za starije sa vlastitim sredstvima na računu.</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-šifra 991 i 996 – IZVANBILANČNI ZAPISI – aktiva – pasiva – </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sa stanjem na dan </w:t>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31.12.2024.godine u izvanbilančnim zapisima upisali smo zemljište na području općine koje je upisano u zemljišnim knjigama kao javno dobro, općenarodna imovina i društveno vlasništvo, a koje je u posjedu i upravljanju Općine Sveti Đurđ. Vrijednost zemljišta utvrđena je prema prosječnim cijenama koje vodi Porezna uprava, te ovisno o lokaciji i vrsti pojedinog zemljišta (građevinsko, poljoprivredno i ostalo). Ukupna površina zemljišta iznosi ukupno 507.019 m2, a promjene vrijednosti u odnosu na stanje 01.01.2</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017.godine nije bilo.</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Također su i na stavci izvanbilančnih zapisa upisani instrumenti osiguranja plaćanja i to izdane zadužnice u 2024.godini u ukupnom iznosu od 150.000,00 eura i primljene zadužnice u ukupnom iznosu od 116.000,00 eura.</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1"/>
          <w:i w:val="0"/>
          <w:caps w:val="0"/>
          <w:smallCaps w:val="0"/>
          <w:strike w:val="0"/>
          <w:noProof w:val="0"/>
          <w:vanish w:val="0"/>
          <w:color w:val="auto"/>
          <w:sz w:val="24"/>
          <w:u w:val="none"/>
          <w:shd w:val="clear" w:color="auto" w:fill="auto"/>
          <w:vertAlign w:val="baseline"/>
          <w:lang/>
        </w:rPr>
        <w:t xml:space="preserve">Općina Sveti Đurđ u 2024. godini nije imala poslovnih događaja</w:t>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 koji su trebali biti navedeni u tabelama uz Bilancu, a odnose se na popis sudskih sporova u tijeku.</w:t>
      </w: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r>
        <w:rPr>
          <w:rFonts w:ascii="Times New Roman" w:hAnsi="Times New Roman"/>
          <w:b w:val="1"/>
          <w:i w:val="0"/>
          <w:caps w:val="0"/>
          <w:smallCaps w:val="0"/>
          <w:strike w:val="0"/>
          <w:noProof w:val="0"/>
          <w:vanish w:val="0"/>
          <w:color w:val="auto"/>
          <w:sz w:val="24"/>
          <w:u w:val="single"/>
          <w:shd w:val="clear" w:color="auto" w:fill="auto"/>
          <w:vertAlign w:val="baseline"/>
          <w:lang/>
        </w:rPr>
        <w:t xml:space="preserve">Bilješke uz Izvještaj P-VRIO – promjene u vrijednosti i obujmu imovine i obveza</w:t>
      </w:r>
    </w:p>
    <w:p>
      <w:pPr>
        <w:widowControl w:val="1"/>
        <w:suppressAutoHyphens w:val="1"/>
        <w:bidi w:val="0"/>
        <w:contextualSpacing w:val="1"/>
        <w:jc w:val="both"/>
        <w:ind w:left="720" w:right="0"/>
        <w:pStyle w:val="P2"/>
        <w:rPr>
          <w:rFonts w:ascii="Times New Roman" w:hAnsi="Times New Roman"/>
          <w:b w:val="1"/>
          <w:i w:val="0"/>
          <w:caps w:val="0"/>
          <w:smallCaps w:val="0"/>
          <w:strike w:val="0"/>
          <w:noProof w:val="0"/>
          <w:vanish w:val="0"/>
          <w:color w:val="auto"/>
          <w:sz w:val="24"/>
          <w:u w:val="singl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Ovaj izvještaj prethodne godine nismo popunjavali, dok u 2024.godini imali smo nekoliko promjena u vrijednosti dugotrajne imovine i sitnog inventara.</w:t>
      </w: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p>
    <w:p>
      <w:pPr>
        <w:widowControl w:val="1"/>
        <w:suppressAutoHyphens w:val="1"/>
        <w:bidi w:val="0"/>
        <w:contextualSpacing w:val="1"/>
        <w:jc w:val="both"/>
        <w:ind w:left="720" w:right="0"/>
        <w:pStyle w:val="P2"/>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S poštovanjem,</w:t>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p>
    <w:p>
      <w:pPr>
        <w:widowControl w:val="1"/>
        <w:suppressAutoHyphens w:val="1"/>
        <w:bidi w:val="0"/>
        <w:jc w:val="righ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ab/>
      </w:r>
      <w:r>
        <w:rPr>
          <w:rFonts w:ascii="Times New Roman CE" w:hAnsi="Times New Roman CE"/>
          <w:b w:val="0"/>
          <w:i w:val="0"/>
          <w:caps w:val="0"/>
          <w:smallCaps w:val="0"/>
          <w:strike w:val="0"/>
          <w:noProof w:val="0"/>
          <w:vanish w:val="0"/>
          <w:color w:val="auto"/>
          <w:sz w:val="24"/>
          <w:u w:val="none"/>
          <w:shd w:val="clear" w:color="auto" w:fill="auto"/>
          <w:vertAlign w:val="baseline"/>
          <w:lang/>
        </w:rPr>
        <w:t xml:space="preserve">Općinski načelnik </w:t>
      </w:r>
    </w:p>
    <w:p>
      <w:pPr>
        <w:widowControl w:val="1"/>
        <w:suppressAutoHyphens w:val="1"/>
        <w:bidi w:val="0"/>
        <w:jc w:val="right"/>
        <w:spacing w:lineRule="auto" w:line="240" w:beforeAutospacing="0" w:afterAutospacing="0"/>
        <w:ind w:left="0" w:right="0"/>
        <w:pStyle w:val="P0"/>
        <w:rPr>
          <w:rFonts w:ascii="Times New Roman" w:hAnsi="Times New Roman"/>
          <w:b w:val="0"/>
          <w:i w:val="0"/>
          <w:caps w:val="0"/>
          <w:smallCaps w:val="0"/>
          <w:strike w:val="0"/>
          <w:noProof w:val="0"/>
          <w:vanish w:val="0"/>
          <w:color w:val="auto"/>
          <w:sz w:val="24"/>
          <w:u w:val="none"/>
          <w:shd w:val="clear" w:color="auto" w:fill="auto"/>
          <w:vertAlign w:val="baseline"/>
          <w:lang/>
        </w:rPr>
      </w:pP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ab/>
      </w:r>
      <w:r>
        <w:rPr>
          <w:rFonts w:ascii="Times New Roman" w:hAnsi="Times New Roman"/>
          <w:b w:val="0"/>
          <w:i w:val="0"/>
          <w:caps w:val="0"/>
          <w:smallCaps w:val="0"/>
          <w:strike w:val="0"/>
          <w:noProof w:val="0"/>
          <w:vanish w:val="0"/>
          <w:color w:val="auto"/>
          <w:sz w:val="24"/>
          <w:u w:val="none"/>
          <w:shd w:val="clear" w:color="auto" w:fill="auto"/>
          <w:vertAlign w:val="baseline"/>
          <w:lang/>
        </w:rPr>
        <w:t xml:space="preserve">Josip Jany </w:t>
      </w: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jc w:val="both"/>
        <w:spacing w:lineRule="auto" w:line="240" w:after="0" w:beforeAutospacing="0" w:afterAutospacing="0"/>
        <w:pStyle w:val="P0"/>
        <w:rPr>
          <w:rFonts w:ascii="Times New Roman" w:hAnsi="Times New Roman"/>
        </w:rPr>
      </w:pPr>
    </w:p>
    <w:p>
      <w:pPr>
        <w:spacing w:lineRule="auto" w:line="240" w:after="0" w:beforeAutospacing="0" w:afterAutospacing="0"/>
        <w:pStyle w:val="P0"/>
        <w:rPr>
          <w:rFonts w:ascii="Times New Roman" w:hAnsi="Times New Roman"/>
        </w:rPr>
      </w:pPr>
    </w:p>
    <w:sectPr>
      <w:headerReference w:type="first" r:id="header1"/>
      <w:headerReference w:type="default" r:id="header2"/>
      <w:type w:val="nextPage"/>
      <w:pgSz w:w="11906" w:h="16838"/>
      <w:pgMar w:left="1417" w:right="1417" w:top="1417" w:bottom="1417" w:header="720" w:footer="720"/>
      <w:cols w:equalWidth="1" w:space="720"/>
      <w:titlePg w:val="1"/>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numbering.xml><?xml version="1.0" encoding="utf-8"?>
<w:numbering xmlns:w="http://schemas.openxmlformats.org/wordprocessingml/2006/main">
  <w:abstractNum w:abstractNumId="0">
    <w:nsid w:val="00000001"/>
    <w:multiLevelType w:val="multilevel"/>
    <w:lvl w:ilvl="0">
      <w:start w:val="1"/>
      <w:numFmt w:val="bullet"/>
      <w:suff w:val="tab"/>
      <w:lvlText w:val="-"/>
      <w:lvlJc w:val="left"/>
      <w:pPr>
        <w:spacing w:lineRule="auto" w:line="240" w:beforeAutospacing="0" w:afterAutospacing="0"/>
        <w:ind w:hanging="360" w:left="643"/>
      </w:pPr>
      <w:rPr>
        <w:rFonts w:ascii="Times New Roman" w:hAnsi="Times New Roman"/>
        <w:b w:val="1"/>
        <w:sz w:val="24"/>
      </w:rPr>
    </w:lvl>
    <w:lvl w:ilvl="1">
      <w:start w:val="1"/>
      <w:numFmt w:val="bullet"/>
      <w:suff w:val="tab"/>
      <w:lvlText w:val="o"/>
      <w:lvlJc w:val="left"/>
      <w:pPr>
        <w:spacing w:lineRule="auto" w:line="240" w:beforeAutospacing="0" w:afterAutospacing="0"/>
        <w:ind w:hanging="360" w:left="1440"/>
      </w:pPr>
      <w:rPr>
        <w:rFonts w:ascii="Courier New" w:hAnsi="Courier New"/>
      </w:rPr>
    </w:lvl>
    <w:lvl w:ilvl="2">
      <w:start w:val="1"/>
      <w:numFmt w:val="bullet"/>
      <w:suff w:val="tab"/>
      <w:lvlText w:val=""/>
      <w:lvlJc w:val="left"/>
      <w:pPr>
        <w:spacing w:lineRule="auto" w:line="240" w:beforeAutospacing="0" w:afterAutospacing="0"/>
        <w:ind w:hanging="360" w:left="2160"/>
      </w:pPr>
      <w:rPr>
        <w:rFonts w:ascii="Wingdings" w:hAnsi="Wingdings"/>
      </w:rPr>
    </w:lvl>
    <w:lvl w:ilvl="3">
      <w:start w:val="1"/>
      <w:numFmt w:val="bullet"/>
      <w:suff w:val="tab"/>
      <w:lvlText w:val=""/>
      <w:lvlJc w:val="left"/>
      <w:pPr>
        <w:spacing w:lineRule="auto" w:line="240" w:beforeAutospacing="0" w:afterAutospacing="0"/>
        <w:ind w:hanging="360" w:left="2880"/>
      </w:pPr>
      <w:rPr>
        <w:rFonts w:ascii="Symbol" w:hAnsi="Symbol"/>
      </w:rPr>
    </w:lvl>
    <w:lvl w:ilvl="4">
      <w:start w:val="1"/>
      <w:numFmt w:val="bullet"/>
      <w:suff w:val="tab"/>
      <w:lvlText w:val="o"/>
      <w:lvlJc w:val="left"/>
      <w:pPr>
        <w:spacing w:lineRule="auto" w:line="240" w:beforeAutospacing="0" w:afterAutospacing="0"/>
        <w:ind w:hanging="360" w:left="3600"/>
      </w:pPr>
      <w:rPr>
        <w:rFonts w:ascii="Courier New" w:hAnsi="Courier New"/>
      </w:rPr>
    </w:lvl>
    <w:lvl w:ilvl="5">
      <w:start w:val="1"/>
      <w:numFmt w:val="bullet"/>
      <w:suff w:val="tab"/>
      <w:lvlText w:val=""/>
      <w:lvlJc w:val="left"/>
      <w:pPr>
        <w:spacing w:lineRule="auto" w:line="240" w:beforeAutospacing="0" w:afterAutospacing="0"/>
        <w:ind w:hanging="360" w:left="4320"/>
      </w:pPr>
      <w:rPr>
        <w:rFonts w:ascii="Wingdings" w:hAnsi="Wingdings"/>
      </w:rPr>
    </w:lvl>
    <w:lvl w:ilvl="6">
      <w:start w:val="1"/>
      <w:numFmt w:val="bullet"/>
      <w:suff w:val="tab"/>
      <w:lvlText w:val=""/>
      <w:lvlJc w:val="left"/>
      <w:pPr>
        <w:spacing w:lineRule="auto" w:line="240" w:beforeAutospacing="0" w:afterAutospacing="0"/>
        <w:ind w:hanging="360" w:left="5040"/>
      </w:pPr>
      <w:rPr>
        <w:rFonts w:ascii="Symbol" w:hAnsi="Symbol"/>
      </w:rPr>
    </w:lvl>
    <w:lvl w:ilvl="7">
      <w:start w:val="1"/>
      <w:numFmt w:val="bullet"/>
      <w:suff w:val="tab"/>
      <w:lvlText w:val="o"/>
      <w:lvlJc w:val="left"/>
      <w:pPr>
        <w:spacing w:lineRule="auto" w:line="240" w:beforeAutospacing="0" w:afterAutospacing="0"/>
        <w:ind w:hanging="360" w:left="5760"/>
      </w:pPr>
      <w:rPr>
        <w:rFonts w:ascii="Courier New" w:hAnsi="Courier New"/>
      </w:rPr>
    </w:lvl>
    <w:lvl w:ilvl="8">
      <w:start w:val="1"/>
      <w:numFmt w:val="bullet"/>
      <w:suff w:val="tab"/>
      <w:lvlText w:val=""/>
      <w:lvlJc w:val="left"/>
      <w:pPr>
        <w:spacing w:lineRule="auto" w:line="240" w:beforeAutospacing="0" w:afterAutospacing="0"/>
        <w:ind w:hanging="360" w:left="6480"/>
      </w:pPr>
      <w:rPr>
        <w:rFonts w:ascii="Wingdings" w:hAnsi="Wingdings"/>
      </w:rPr>
    </w:lvl>
  </w:abstractNum>
  <w:abstractNum w:abstractNumId="1">
    <w:nsid w:val="00000002"/>
    <w:multiLevelType w:val="multilevel"/>
    <w:lvl w:ilvl="0">
      <w:start w:val="0"/>
      <w:numFmt w:val="bullet"/>
      <w:suff w:val="tab"/>
      <w:lvlText w:val="-"/>
      <w:lvlJc w:val="left"/>
      <w:pPr>
        <w:spacing w:lineRule="auto" w:line="240" w:beforeAutospacing="0" w:afterAutospacing="0"/>
        <w:ind w:hanging="360" w:left="720"/>
      </w:pPr>
      <w:rPr>
        <w:rFonts w:ascii="Times New Roman" w:hAnsi="Times New Roman"/>
      </w:rPr>
    </w:lvl>
    <w:lvl w:ilvl="1">
      <w:start w:val="0"/>
      <w:numFmt w:val="bullet"/>
      <w:suff w:val="tab"/>
      <w:lvlText w:val="o"/>
      <w:lvlJc w:val="left"/>
      <w:pPr>
        <w:spacing w:lineRule="auto" w:line="240" w:beforeAutospacing="0" w:afterAutospacing="0"/>
        <w:ind w:hanging="360" w:left="1440"/>
      </w:pPr>
      <w:rPr>
        <w:rFonts w:ascii="Courier New" w:hAnsi="Courier New"/>
      </w:rPr>
    </w:lvl>
    <w:lvl w:ilvl="2">
      <w:start w:val="0"/>
      <w:numFmt w:val="bullet"/>
      <w:suff w:val="tab"/>
      <w:lvlText w:val=""/>
      <w:lvlJc w:val="left"/>
      <w:pPr>
        <w:spacing w:lineRule="auto" w:line="240" w:beforeAutospacing="0" w:afterAutospacing="0"/>
        <w:ind w:hanging="360" w:left="2160"/>
      </w:pPr>
      <w:rPr>
        <w:rFonts w:ascii="Wingdings" w:hAnsi="Wingdings"/>
      </w:rPr>
    </w:lvl>
    <w:lvl w:ilvl="3">
      <w:start w:val="0"/>
      <w:numFmt w:val="bullet"/>
      <w:suff w:val="tab"/>
      <w:lvlText w:val=""/>
      <w:lvlJc w:val="left"/>
      <w:pPr>
        <w:spacing w:lineRule="auto" w:line="240" w:beforeAutospacing="0" w:afterAutospacing="0"/>
        <w:ind w:hanging="360" w:left="2880"/>
      </w:pPr>
      <w:rPr>
        <w:rFonts w:ascii="Symbol" w:hAnsi="Symbol"/>
      </w:rPr>
    </w:lvl>
    <w:lvl w:ilvl="4">
      <w:start w:val="0"/>
      <w:numFmt w:val="bullet"/>
      <w:suff w:val="tab"/>
      <w:lvlText w:val="o"/>
      <w:lvlJc w:val="left"/>
      <w:pPr>
        <w:spacing w:lineRule="auto" w:line="240" w:beforeAutospacing="0" w:afterAutospacing="0"/>
        <w:ind w:hanging="360" w:left="3600"/>
      </w:pPr>
      <w:rPr>
        <w:rFonts w:ascii="Courier New" w:hAnsi="Courier New"/>
      </w:rPr>
    </w:lvl>
    <w:lvl w:ilvl="5">
      <w:start w:val="0"/>
      <w:numFmt w:val="bullet"/>
      <w:suff w:val="tab"/>
      <w:lvlText w:val=""/>
      <w:lvlJc w:val="left"/>
      <w:pPr>
        <w:spacing w:lineRule="auto" w:line="240" w:beforeAutospacing="0" w:afterAutospacing="0"/>
        <w:ind w:hanging="360" w:left="4320"/>
      </w:pPr>
      <w:rPr>
        <w:rFonts w:ascii="Wingdings" w:hAnsi="Wingdings"/>
      </w:rPr>
    </w:lvl>
    <w:lvl w:ilvl="6">
      <w:start w:val="0"/>
      <w:numFmt w:val="bullet"/>
      <w:suff w:val="tab"/>
      <w:lvlText w:val=""/>
      <w:lvlJc w:val="left"/>
      <w:pPr>
        <w:spacing w:lineRule="auto" w:line="240" w:beforeAutospacing="0" w:afterAutospacing="0"/>
        <w:ind w:hanging="360" w:left="5040"/>
      </w:pPr>
      <w:rPr>
        <w:rFonts w:ascii="Symbol" w:hAnsi="Symbol"/>
      </w:rPr>
    </w:lvl>
    <w:lvl w:ilvl="7">
      <w:start w:val="0"/>
      <w:numFmt w:val="bullet"/>
      <w:suff w:val="tab"/>
      <w:lvlText w:val="o"/>
      <w:lvlJc w:val="left"/>
      <w:pPr>
        <w:spacing w:lineRule="auto" w:line="240" w:beforeAutospacing="0" w:afterAutospacing="0"/>
        <w:ind w:hanging="360" w:left="5760"/>
      </w:pPr>
      <w:rPr>
        <w:rFonts w:ascii="Courier New" w:hAnsi="Courier New"/>
      </w:rPr>
    </w:lvl>
    <w:lvl w:ilvl="8">
      <w:start w:val="0"/>
      <w:numFmt w:val="bullet"/>
      <w:suff w:val="tab"/>
      <w:lvlText w:val=""/>
      <w:lvlJc w:val="left"/>
      <w:pPr>
        <w:spacing w:lineRule="auto" w:line="240" w:beforeAutospacing="0" w:afterAutospacing="0"/>
        <w:ind w:hanging="360" w:left="6480"/>
      </w:pPr>
      <w:rPr>
        <w:rFonts w:ascii="Wingdings" w:hAnsi="Wingdings"/>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List Paragraph"/>
    <w:basedOn w:val="P0"/>
    <w:pPr>
      <w:spacing w:lineRule="auto" w:line="240" w:beforeAutospacing="0" w:afterAutospacing="0"/>
    </w:pPr>
    <w:rPr>
      <w:rFonts w:ascii="Times New Roman" w:hAnsi="Times New Roman"/>
      <w:b w:val="0"/>
      <w:i w:val="0"/>
      <w:caps w:val="0"/>
      <w:smallCaps w:val="0"/>
      <w:strike w:val="0"/>
      <w:noProof w:val="0"/>
      <w:vanish w:val="0"/>
      <w:color w:val="auto"/>
      <w:sz w:val="24"/>
      <w:u w:val="none"/>
      <w:shd w:val="clear" w:color="auto" w:fill="auto"/>
      <w:vertAlign w:val="baseline"/>
      <w:lang/>
    </w:rPr>
    <w:qFormat/>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2.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2025-02-14T07:49:29Z</dcterms:created>
  <dcterms:modified xsi:type="dcterms:W3CDTF">2025-02-14T07:49:29Z</dcterms:modified>
</cp:coreProperties>
</file>