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  <w:lang w:val="en-US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sz w:val="24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VARAŽDINSKA ŽUPANIJA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 xml:space="preserve">OPĆINA SVETI ĐURĐ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Start w:id="0" w:name="_GoBack"/>
      <w:r>
        <w:rPr>
          <w:rFonts w:ascii="Times New Roman" w:hAnsi="Times New Roman"/>
          <w:b w:val="1"/>
          <w:noProof w:val="1"/>
          <w:sz w:val="24"/>
        </w:rPr>
        <w:t>Općinsko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410-05/25-01/1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 xml:space="preserve"> 2186-21-02-25-1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 w:val="1"/>
          <w:sz w:val="24"/>
        </w:rPr>
        <w:t>28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veljače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jc w:val="both"/>
        <w:spacing w:lineRule="auto" w:line="256" w:before="0" w:after="160" w:beforeAutospacing="0" w:afterAutospacing="0"/>
        <w:ind w:firstLine="72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Na temelju odredbi članka 20., članka 41. stavak 4. i članka 42. stavak 1. Zakona o lokalnim porezima (“Narodne novine” broj 115/16., 101/17., 114/22., 114/23. i 152/24.), i članka 22. Statuta Općine Sveti Đurđ (“Službeni vjesnik Varaždinske županije” broj 30/21. i 18/23.), Općinsko vijeće Općine Sveti Đurđ na svojoj 40. sjednici održanoj 28.2.2025. godine donosi sljedeću</w:t>
      </w:r>
    </w:p>
    <w:p>
      <w:pPr>
        <w:jc w:val="center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32"/>
        </w:rPr>
        <w:t>ODLUKU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O OPĆINSKIM POREZIMA OPĆINE SVETI ĐURĐ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I. OPĆA ODREDBA</w:t>
      </w:r>
    </w:p>
    <w:p>
      <w:pPr>
        <w:jc w:val="center"/>
        <w:spacing w:lineRule="auto" w:line="240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Članak 1.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Ovom se Odlukom utvrđuju vrste poreza koje pripadaju Općini Sveti Đurđ, visina stope poreza na potrošnju, visina poreza na nekretnine, što se smatra javnom površinom, visinu, način i uvjete plaćanja poreza na korištenje javnih površina te nadležno porezno tijelo za utvrđivanje i naplatu poreza.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II. VRSTE POREZA</w:t>
      </w:r>
    </w:p>
    <w:p>
      <w:pPr>
        <w:jc w:val="center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Članak 2.</w:t>
      </w:r>
    </w:p>
    <w:p>
      <w:pPr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Općinski porezi Općine Sveti Đurđ su:</w:t>
      </w:r>
    </w:p>
    <w:p>
      <w:pPr>
        <w:spacing w:lineRule="auto" w:line="256" w:before="0" w:after="160" w:beforeAutospacing="0" w:afterAutospacing="0"/>
        <w:ind w:hanging="360" w:left="720"/>
        <w:numPr>
          <w:numId w:val="1"/>
        </w:numPr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porez na potrošnju,</w:t>
      </w:r>
    </w:p>
    <w:p>
      <w:pPr>
        <w:spacing w:lineRule="auto" w:line="256" w:before="0" w:after="160" w:beforeAutospacing="0" w:afterAutospacing="0"/>
        <w:ind w:hanging="360" w:left="720"/>
        <w:numPr>
          <w:numId w:val="1"/>
        </w:numPr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porez na nekretnine i</w:t>
      </w:r>
    </w:p>
    <w:p>
      <w:pPr>
        <w:spacing w:lineRule="auto" w:line="256" w:before="0" w:after="160" w:beforeAutospacing="0" w:afterAutospacing="0"/>
        <w:ind w:hanging="360" w:left="720"/>
        <w:numPr>
          <w:numId w:val="1"/>
        </w:numPr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porez na korištenje javnih površina.</w:t>
      </w:r>
    </w:p>
    <w:p>
      <w:pPr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56" w:before="0" w:after="16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1. POREZ NA POTROŠNJU</w:t>
      </w:r>
    </w:p>
    <w:p>
      <w:pPr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</w:p>
    <w:p>
      <w:pPr>
        <w:jc w:val="center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Članak 3.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Porez na potrošnju plaća se na potrošnju alkoholnih pića (vinjak, rakiju i žestoka pića), prirodnih vina, specijalnih vina, piva i bezalkoholnih pića u ugostiteljskim objektima na području Općine Sveti Đurđ, po stopi od 2%.</w:t>
      </w:r>
    </w:p>
    <w:p>
      <w:pPr>
        <w:spacing w:lineRule="auto" w:line="256" w:before="0" w:after="160" w:beforeAutospacing="0" w:afterAutospacing="0"/>
        <w:pStyle w:val="P0"/>
        <w:rPr>
          <w:rFonts w:ascii="Times New Roman" w:hAnsi="Times New Roman"/>
          <w:color w:val="ff0000"/>
        </w:rPr>
      </w:pPr>
    </w:p>
    <w:p>
      <w:pPr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2. POREZ NA NEKRETNINE</w:t>
      </w:r>
    </w:p>
    <w:p>
      <w:pPr>
        <w:jc w:val="center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Članak 4.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Porez na nekretnine na području Općine Sveti Đurđ plaća se godišnje u visini od 0,60 eura/m2 korisne površine nekretnine, za cijelo područje Općine Sveti Đurđ.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3. POREZ NA KORIŠTENJE JAVNIH POVRŠINA</w:t>
      </w:r>
    </w:p>
    <w:p>
      <w:pPr>
        <w:jc w:val="center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Članak 5.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Javnim površinama smatraju se nerazvrstane ceste, javne prometne površine na kojima nije dopušten promet motornim vozilima, javna parkirališta i javne zelene površine.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</w:p>
    <w:p>
      <w:pPr>
        <w:jc w:val="center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Članak 6.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Porez na korištenje javnih površina utvrđuje se u visini od:</w:t>
      </w:r>
    </w:p>
    <w:p>
      <w:pPr>
        <w:jc w:val="both"/>
        <w:spacing w:lineRule="auto" w:line="240" w:before="0" w:after="160" w:beforeAutospacing="0" w:afterAutospacing="0"/>
        <w:pStyle w:val="P0"/>
        <w:rPr>
          <w:rFonts w:ascii="Times New Roman" w:hAnsi="Times New Roman"/>
        </w:rPr>
      </w:pP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49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0" w:after="160" w:beforeAutospacing="0" w:afterAutospacing="0"/>
              <w:ind w:firstLine="37"/>
              <w:pStyle w:val="P0"/>
              <w:rPr>
                <w:rFonts w:ascii="Times New Roman" w:hAnsi="Times New Roman"/>
              </w:rPr>
            </w:pPr>
          </w:p>
        </w:tc>
        <w:tc>
          <w:tcPr>
            <w:tcW w:w="645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0" w:after="160" w:beforeAutospacing="0" w:afterAutospacing="0"/>
              <w:ind w:firstLine="37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oblik/svrha korištenja javne površine</w:t>
            </w:r>
          </w:p>
        </w:tc>
        <w:tc>
          <w:tcPr>
            <w:tcW w:w="241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center"/>
              <w:spacing w:lineRule="auto" w:line="240" w:before="0" w:after="160" w:beforeAutospacing="0" w:afterAutospacing="0"/>
              <w:ind w:firstLine="37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razdoblje/način obračuna</w:t>
            </w:r>
          </w:p>
        </w:tc>
      </w:tr>
      <w:tr>
        <w:tc>
          <w:tcPr>
            <w:tcW w:w="49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45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za postavu naprave za prodaju robe i artikala</w:t>
            </w:r>
          </w:p>
        </w:tc>
        <w:tc>
          <w:tcPr>
            <w:tcW w:w="241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0,53 eura/m²/dan</w:t>
            </w:r>
          </w:p>
        </w:tc>
      </w:tr>
      <w:tr>
        <w:tc>
          <w:tcPr>
            <w:tcW w:w="49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45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za postavljanje stolova i stolica ispred ugostiteljskih objekata te malih štandova ispred trgovina</w:t>
            </w:r>
          </w:p>
        </w:tc>
        <w:tc>
          <w:tcPr>
            <w:tcW w:w="241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0,03 eura/m²/dan</w:t>
            </w:r>
          </w:p>
        </w:tc>
      </w:tr>
      <w:tr>
        <w:tc>
          <w:tcPr>
            <w:tcW w:w="49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45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za pružanje jednostavnih ugostiteljskih usluga ambulantno</w:t>
            </w:r>
          </w:p>
        </w:tc>
        <w:tc>
          <w:tcPr>
            <w:tcW w:w="241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5,31 eura/m²/dan</w:t>
            </w:r>
          </w:p>
        </w:tc>
      </w:tr>
      <w:tr>
        <w:tc>
          <w:tcPr>
            <w:tcW w:w="49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45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za pružanje trgovačkih usluga u pokretnim objektima u skladu s posebnom odlukom (pokretna prodaja)</w:t>
            </w:r>
          </w:p>
        </w:tc>
        <w:tc>
          <w:tcPr>
            <w:tcW w:w="241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26,54 eura/m²/mjeseèno</w:t>
            </w:r>
          </w:p>
        </w:tc>
      </w:tr>
      <w:tr>
        <w:tc>
          <w:tcPr>
            <w:tcW w:w="49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45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za prodaju putem automata</w:t>
            </w:r>
          </w:p>
        </w:tc>
        <w:tc>
          <w:tcPr>
            <w:tcW w:w="241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0,27 eura/m²/dan</w:t>
            </w:r>
          </w:p>
        </w:tc>
      </w:tr>
      <w:tr>
        <w:tc>
          <w:tcPr>
            <w:tcW w:w="49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645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za postavljanje reklamnih panoa, natpisnih tabli i sl., do 1m²</w:t>
            </w:r>
          </w:p>
        </w:tc>
        <w:tc>
          <w:tcPr>
            <w:tcW w:w="241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0,13 eura/dan</w:t>
            </w:r>
          </w:p>
        </w:tc>
      </w:tr>
      <w:tr>
        <w:tc>
          <w:tcPr>
            <w:tcW w:w="49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56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645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56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za postavljanje reklamnih panoa, natpisnih tabli i sl., preko 1m²</w:t>
            </w:r>
          </w:p>
        </w:tc>
        <w:tc>
          <w:tcPr>
            <w:tcW w:w="241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56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0,27 eura/dan</w:t>
            </w:r>
          </w:p>
        </w:tc>
      </w:tr>
      <w:tr>
        <w:tc>
          <w:tcPr>
            <w:tcW w:w="49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645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za postavu štanda i klupa te automata kod prigodne prodaje</w:t>
            </w:r>
          </w:p>
        </w:tc>
        <w:tc>
          <w:tcPr>
            <w:tcW w:w="241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3,98 eura/m²/dan</w:t>
            </w:r>
          </w:p>
        </w:tc>
      </w:tr>
      <w:tr>
        <w:tc>
          <w:tcPr>
            <w:tcW w:w="49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645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jc w:val="both"/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za postavu šatora, cirkusa, vrtuljaka i sl. kod prihodne prodaje</w:t>
            </w:r>
          </w:p>
        </w:tc>
        <w:tc>
          <w:tcPr>
            <w:tcW w:w="241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1,33 eura/m²/dan</w:t>
            </w:r>
          </w:p>
        </w:tc>
      </w:tr>
      <w:tr>
        <w:tc>
          <w:tcPr>
            <w:tcW w:w="49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645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za druge nespomenute radnje</w:t>
            </w:r>
          </w:p>
        </w:tc>
        <w:tc>
          <w:tcPr>
            <w:tcW w:w="241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top"/>
          </w:tcPr>
          <w:p>
            <w:pPr>
              <w:spacing w:lineRule="auto" w:line="240" w:before="0" w:after="160" w:beforeAutospacing="0" w:afterAutospacing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0,66 eura/m²/dan</w:t>
            </w:r>
          </w:p>
        </w:tc>
      </w:tr>
    </w:tbl>
    <w:p>
      <w:pPr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</w:p>
    <w:p>
      <w:pPr>
        <w:jc w:val="center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Članak 7.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(1) Visina poreza na korištenje javne površine utvrđuje se rješenjem o porezu na korištenje javne površine.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(2) Porez na korištenje javne površine plaća se jednokratno u roku od 15 dana od dana dostave rješenja o utvrđivanju poreza. Na nepravodobno uplaćeni iznos poreza obračunava se i plaća zakonska zatezna kamata.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(3) Porez na korištenje javne površine ne plaćaju pravne i fizičke osobe koje plaćaju zakupninu ili drugu naknadu temeljem ugovora sklopljenog s Općinom Sveti Đurđ.</w:t>
      </w:r>
    </w:p>
    <w:p>
      <w:pPr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III. PRIJENOS OVLASTI I NADLEŽNA POREZNA TIJELA</w:t>
      </w:r>
    </w:p>
    <w:p>
      <w:pPr>
        <w:jc w:val="center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Članak 8.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(1) Poslove utvrđivanja i naplate poreza na potrošnju obavlja Ministarstvo financija, Porezna uprava.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(2) Poslove utvrđivanja i naplate poreza na nekretnine obavlja Jedinstveni upravni odjel Općine Sveti Đurđ.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(3) Poslove utvrđivanja i naplate poreza na korištenje javnih površina obavlja Jedinstveni upravni odjel Općine Sveti Đurđ.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57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IV. DAVANJE OVLASTI FINA-I</w:t>
      </w:r>
    </w:p>
    <w:p>
      <w:pPr>
        <w:jc w:val="center"/>
        <w:spacing w:lineRule="auto" w:line="257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Članak 9.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Ovlašćuje se nadležna organizacija platnog prometa zadužena za raspoređivanje uplaćenih prihoda, da naknadu koja pripada Ministarstvu financija, Poreznoj upravi u iznosu od 5% od ukupno uplaćenih prihoda, obračuna i uplati u državni proračun i to do zadnjeg dana u mjesecu za protekli mjesec.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V. PRIJELAZNE I ZAVRŠNE ODREDBE</w:t>
      </w:r>
    </w:p>
    <w:p>
      <w:pPr>
        <w:jc w:val="center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Članak 10.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Postupci utvrđivanja poreza započeti po odredbama Odluke o općinskim porezima Općine Sveti Đurđ (“Službeni vjesnik Varaždinske županije” broj 104./23.) koji nisu dovršeni do stupanja na snagu ove Odluke, dovršiti će se prema odredbama Odluke o općinskim porezima Općine Sveti Đurđ (“Službeni vjesnik Varaždinske županije” broj 104./23).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</w:p>
    <w:p>
      <w:pPr>
        <w:jc w:val="center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Članak 11.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Stupanjem na snagu ove Odluke, prestaje važiti Odluka o općinskim porezima (“Službeni glasnik Varaždinske županije” broj 104/23.).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</w:p>
    <w:p>
      <w:pPr>
        <w:jc w:val="center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Članak 12.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Ova Odluka dostavit će se Ministarstvu financija, Poreznoj upravi u roku od osam dana od dana njezina donošenja radi objave na mrežnim stranicama Porezne uprave i radi preuzimanja ovlasti za utvrđivanje i naplatu poreza.</w:t>
      </w:r>
    </w:p>
    <w:p>
      <w:pPr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</w:p>
    <w:p>
      <w:pPr>
        <w:jc w:val="center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Članak 13.</w:t>
      </w:r>
    </w:p>
    <w:p>
      <w:pPr>
        <w:jc w:val="both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Ova Odluka stupa na snagu osmog dana od dana objave u “Službenom vjesniku Varaždinske županije”.</w:t>
      </w:r>
    </w:p>
    <w:p>
      <w:pPr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</w:p>
    <w:p>
      <w:pPr>
        <w:jc w:val="right"/>
        <w:spacing w:lineRule="auto" w:line="256" w:before="0" w:after="160" w:beforeAutospacing="0" w:afterAutospacing="0"/>
        <w:ind w:firstLine="720" w:left="216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PREDSJEDNIK OPĆINSKOG VIJEĆA</w:t>
      </w:r>
    </w:p>
    <w:p>
      <w:pPr>
        <w:jc w:val="right"/>
        <w:spacing w:lineRule="auto" w:line="256" w:before="0" w:after="16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Damir Grgec</w:t>
      </w: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before="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default" r:id="header2"/>
      <w:footerReference w:type="default" r:id="footer3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tab"/>
      <w:lvlText w:val="%1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360" w:left="360" w:right="0"/>
        <w:outlineLvl w:val="9"/>
      </w:pPr>
      <w:rPr/>
    </w:lvl>
    <w:lvl w:ilvl="1">
      <w:start w:val="1"/>
      <w:numFmt w:val="decimal"/>
      <w:suff w:val="tab"/>
      <w:lvlText w:val="%1.%2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432" w:left="792" w:right="0"/>
        <w:outlineLvl w:val="9"/>
      </w:pPr>
      <w:rPr/>
    </w:lvl>
    <w:lvl w:ilvl="2">
      <w:start w:val="1"/>
      <w:numFmt w:val="decimal"/>
      <w:suff w:val="tab"/>
      <w:lvlText w:val="%1.%2.%3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504" w:left="1224" w:right="0"/>
        <w:outlineLvl w:val="9"/>
      </w:pPr>
      <w:rPr/>
    </w:lvl>
    <w:lvl w:ilvl="3">
      <w:start w:val="1"/>
      <w:numFmt w:val="decimal"/>
      <w:suff w:val="tab"/>
      <w:lvlText w:val="%1.%2.%3.%4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648" w:left="1728" w:right="0"/>
        <w:outlineLvl w:val="9"/>
      </w:pPr>
      <w:rPr/>
    </w:lvl>
    <w:lvl w:ilvl="4">
      <w:start w:val="1"/>
      <w:numFmt w:val="decimal"/>
      <w:suff w:val="tab"/>
      <w:lvlText w:val="%1.%2.%3.%4.%5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792" w:left="2232" w:right="0"/>
        <w:outlineLvl w:val="9"/>
      </w:pPr>
      <w:rPr/>
    </w:lvl>
    <w:lvl w:ilvl="5">
      <w:start w:val="1"/>
      <w:numFmt w:val="decimal"/>
      <w:suff w:val="tab"/>
      <w:lvlText w:val="%1.%2.%3.%4.%5.%6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936" w:left="2736" w:right="0"/>
        <w:outlineLvl w:val="9"/>
      </w:pPr>
      <w:rPr/>
    </w:lvl>
    <w:lvl w:ilvl="6">
      <w:start w:val="1"/>
      <w:numFmt w:val="decimal"/>
      <w:suff w:val="tab"/>
      <w:lvlText w:val="%1.%2.%3.%4.%5.%6.%7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080" w:left="3240" w:right="0"/>
        <w:outlineLvl w:val="9"/>
      </w:pPr>
      <w:rPr/>
    </w:lvl>
    <w:lvl w:ilvl="7">
      <w:start w:val="1"/>
      <w:numFmt w:val="decimal"/>
      <w:suff w:val="tab"/>
      <w:lvlText w:val="%1.%2.%3.%4.%5.%6.%7.%8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224" w:left="3744" w:right="0"/>
        <w:outlineLvl w:val="9"/>
      </w:pPr>
      <w:rPr/>
    </w:lvl>
    <w:lvl w:ilvl="8">
      <w:start w:val="1"/>
      <w:numFmt w:val="decimal"/>
      <w:suff w:val="tab"/>
      <w:lvlText w:val="%1.%2.%3.%4.%5.%6.%7.%8.%9."/>
      <w:lvlJc w:val="left"/>
      <w:pPr>
        <w:keepNext w:val="0"/>
        <w:keepLines w:val="0"/>
        <w:widowControl w:val="1"/>
        <w:suppressLineNumbers w:val="0"/>
        <w:shd w:val="clear" w:fill="auto"/>
        <w:suppressAutoHyphens w:val="0"/>
        <w:bidi w:val="0"/>
        <w:contextualSpacing w:val="0"/>
        <w:jc w:val="left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pacing w:lineRule="auto" w:line="240" w:before="0" w:after="0" w:beforeAutospacing="0" w:afterAutospacing="0"/>
        <w:ind w:hanging="1440" w:left="4320" w:right="0"/>
        <w:outlineLvl w:val="9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footer3" Type="http://schemas.openxmlformats.org/officeDocument/2006/relationships/footer" Target="footer3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2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2025-03-03T08:02:02Z</dcterms:created>
  <dcterms:modified xsi:type="dcterms:W3CDTF">2025-03-03T08:02:02Z</dcterms:modified>
</cp:coreProperties>
</file>