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B07F88" w14:paraId="20BB6F39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20EBA72" w14:textId="77777777" w:rsidR="00B07F88" w:rsidRDefault="00C224A9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0A1347F0" w14:textId="77777777" w:rsidR="00B07F88" w:rsidRDefault="00C224A9">
            <w:pPr>
              <w:spacing w:after="0" w:line="240" w:lineRule="auto"/>
            </w:pPr>
            <w:r>
              <w:t>31430</w:t>
            </w:r>
          </w:p>
        </w:tc>
      </w:tr>
      <w:tr w:rsidR="00B07F88" w14:paraId="75E6F1B3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1A6AE8B" w14:textId="77777777" w:rsidR="00B07F88" w:rsidRDefault="00C224A9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0282FB14" w14:textId="77777777" w:rsidR="00B07F88" w:rsidRDefault="00C224A9">
            <w:pPr>
              <w:spacing w:after="0" w:line="240" w:lineRule="auto"/>
            </w:pPr>
            <w:r>
              <w:t>OPĆINA SVETI ĐURĐ</w:t>
            </w:r>
          </w:p>
        </w:tc>
      </w:tr>
      <w:tr w:rsidR="00B07F88" w14:paraId="3D9747CC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7D34C27" w14:textId="77777777" w:rsidR="00B07F88" w:rsidRDefault="00C224A9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401D42C5" w14:textId="77777777" w:rsidR="00B07F88" w:rsidRDefault="00C224A9">
            <w:pPr>
              <w:spacing w:after="0" w:line="240" w:lineRule="auto"/>
            </w:pPr>
            <w:r>
              <w:t>22</w:t>
            </w:r>
          </w:p>
        </w:tc>
      </w:tr>
    </w:tbl>
    <w:p w14:paraId="6FAA3AD8" w14:textId="77777777" w:rsidR="00B07F88" w:rsidRDefault="00C224A9">
      <w:r>
        <w:br/>
      </w:r>
    </w:p>
    <w:p w14:paraId="70A05339" w14:textId="77777777" w:rsidR="00B07F88" w:rsidRDefault="00C224A9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51A59B21" w14:textId="77777777" w:rsidR="00B07F88" w:rsidRDefault="00C224A9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593D30B5" w14:textId="77777777" w:rsidR="00B07F88" w:rsidRDefault="00C224A9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1B8262ED" w14:textId="77777777" w:rsidR="00B07F88" w:rsidRDefault="00B07F88"/>
    <w:p w14:paraId="7419E966" w14:textId="77777777" w:rsidR="00B07F88" w:rsidRDefault="00C224A9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211BDCF3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2AE874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F82986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5DCBF3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66140D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1C0A6C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C88096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F9F2E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01B8A2C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D5404D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A10986C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B447E5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36DBCF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907.348,05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9B4FD8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1.319.959,22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52DB6D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145,5</w:t>
            </w:r>
          </w:p>
        </w:tc>
      </w:tr>
      <w:tr w:rsidR="00B07F88" w14:paraId="6A26623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49F015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68C2128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POSLOVANJA (šifre </w:t>
            </w:r>
            <w:r>
              <w:rPr>
                <w:sz w:val="18"/>
              </w:rPr>
              <w:t>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E0EFF9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62E146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834.612,15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690EA6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873.309,99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63D670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104,6</w:t>
            </w:r>
          </w:p>
        </w:tc>
      </w:tr>
      <w:tr w:rsidR="00B07F88" w14:paraId="07C84AB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9409BD" w14:textId="77777777" w:rsidR="00B07F88" w:rsidRDefault="00B07F8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346855C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76CAE7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52C766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72.735,90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B878D6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446.649,23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0068FC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614,1</w:t>
            </w:r>
          </w:p>
        </w:tc>
      </w:tr>
      <w:tr w:rsidR="00B07F88" w14:paraId="68AEB11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E706AE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F80908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7F4280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926E861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AD9216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2.532,10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CA4B12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405,1</w:t>
            </w:r>
          </w:p>
        </w:tc>
      </w:tr>
      <w:tr w:rsidR="00B07F88" w14:paraId="6E7CAFC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CC274F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0CA96A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nabavu </w:t>
            </w:r>
            <w:r>
              <w:rPr>
                <w:sz w:val="18"/>
              </w:rPr>
              <w:t>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CC0554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8F51561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245.521,37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41D4A6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1.055.872,32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87B6CE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430,1</w:t>
            </w:r>
          </w:p>
        </w:tc>
      </w:tr>
      <w:tr w:rsidR="00B07F88" w14:paraId="178BDC6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709FA4" w14:textId="77777777" w:rsidR="00B07F88" w:rsidRDefault="00B07F8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BA92687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37DB9D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F0F651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244.896,37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7266AEC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1.053.340,22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E0D658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430,1</w:t>
            </w:r>
          </w:p>
        </w:tc>
      </w:tr>
      <w:tr w:rsidR="00B07F88" w14:paraId="77F6E7F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939E4E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2D0156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990267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FE122A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0BD30F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ACE5C2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B07F88" w14:paraId="61F5289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2DDA2D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817DC78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71C58F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B4A9E2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E62004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66F5EC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B07F88" w14:paraId="6FF84DD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23ECA0" w14:textId="77777777" w:rsidR="00B07F88" w:rsidRDefault="00B07F8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396495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D47349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57721D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C19E06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D81DB4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B07F88" w14:paraId="0350C7D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CF2DF0" w14:textId="77777777" w:rsidR="00B07F88" w:rsidRDefault="00B07F8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221B57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7FB990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FEA4CE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172.160,47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051DFE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606.690,99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5C8B18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352,4</w:t>
            </w:r>
          </w:p>
        </w:tc>
      </w:tr>
    </w:tbl>
    <w:p w14:paraId="4D0EB4A8" w14:textId="77777777" w:rsidR="00B07F88" w:rsidRDefault="00B07F88">
      <w:pPr>
        <w:spacing w:after="0"/>
      </w:pPr>
    </w:p>
    <w:p w14:paraId="4835640E" w14:textId="77777777" w:rsidR="00B07F88" w:rsidRDefault="00C224A9">
      <w:pPr>
        <w:spacing w:line="240" w:lineRule="auto"/>
        <w:jc w:val="both"/>
      </w:pPr>
      <w:r>
        <w:t xml:space="preserve">Ukupni prihodi poslovanja ostvareni su veći od ukupnih rashoda, te je ostvaren višak prihoda poslovanja u iznosu od 446.649,23, dok su ukupni prihodi od prodaje nefinancijske imovine </w:t>
      </w:r>
      <w:proofErr w:type="spellStart"/>
      <w:r>
        <w:t>ostavreni</w:t>
      </w:r>
      <w:proofErr w:type="spellEnd"/>
      <w:r>
        <w:t xml:space="preserve"> su manjem iznosu od </w:t>
      </w:r>
      <w:r>
        <w:t>ukupnih rashoda za nabavu nefinancijske imovine u iznosu od 1.053.340,22 eura, što je rezultiralo manjkom prihoda i primitaka u ukupnom iznosu od 606.690,99 eura. Zbog prenesenog viška prihoda poslovanja iz 2024.godine u iznosu od 743.279,25 eura, ukupni r</w:t>
      </w:r>
      <w:r>
        <w:t>ezultat poslovanja na kraju izvještajnog razdoblja je višak prihoda u iznosu od 136.588,26 eura.</w:t>
      </w:r>
    </w:p>
    <w:p w14:paraId="434C4175" w14:textId="77777777" w:rsidR="00B07F88" w:rsidRDefault="00C224A9">
      <w:r>
        <w:lastRenderedPageBreak/>
        <w:br/>
      </w:r>
    </w:p>
    <w:p w14:paraId="5F77ED35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05C2D0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D403F1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A7E76D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66273F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FC963E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1CBA1D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1CD275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</w:t>
            </w:r>
            <w:r>
              <w:rPr>
                <w:b/>
                <w:sz w:val="18"/>
              </w:rPr>
              <w:t xml:space="preserve"> (%)</w:t>
            </w:r>
          </w:p>
        </w:tc>
      </w:tr>
      <w:tr w:rsidR="00B07F88" w14:paraId="1295871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BB5FD9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858B756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poreza (šifre 611+612+613+614+615+616)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7E3E3A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2604B3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350.200,98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98F0166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472.522,29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356CA2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134,9</w:t>
            </w:r>
          </w:p>
        </w:tc>
      </w:tr>
    </w:tbl>
    <w:p w14:paraId="0D6CBADA" w14:textId="77777777" w:rsidR="00B07F88" w:rsidRDefault="00B07F88">
      <w:pPr>
        <w:spacing w:after="0"/>
      </w:pPr>
    </w:p>
    <w:p w14:paraId="1F48FED6" w14:textId="77777777" w:rsidR="00B07F88" w:rsidRDefault="00C224A9">
      <w:pPr>
        <w:spacing w:line="240" w:lineRule="auto"/>
        <w:jc w:val="both"/>
      </w:pPr>
      <w:r>
        <w:t xml:space="preserve">Prihodi od poreza u prvom polugodištu 2025.godine ostvareni su nešto veći 134,905 u odnosu na ostvarene prihode od poreza u prvom polugodištu </w:t>
      </w:r>
      <w:r>
        <w:t>2024.godine. Sve kategorije poreza bilježe povećanje u promatranom razdoblju, izuzev poreza na imovinu (porez na promet nekretninama), i porez na robu i usluge, jer u 2025.godini nisu bili ostvareni prihodi od poreza na tvrtku (a u prethodnoj je plaćeno du</w:t>
      </w:r>
      <w:r>
        <w:t>govanje po rješenju Porezne uprave od strane jedne pravne osobe). Što se tiče stavke povrata poreza na dohodak po godišnjoj prijavi također je veći nego u prethodnoj godini iz razloga jer na području općine u ovoj godini više građana je podnijelo zahtjev z</w:t>
      </w:r>
      <w:r>
        <w:t>a povrat, odnosno imali su pravo na povrat poreza.</w:t>
      </w:r>
    </w:p>
    <w:p w14:paraId="4E650FB7" w14:textId="77777777" w:rsidR="00B07F88" w:rsidRDefault="00B07F88"/>
    <w:p w14:paraId="1618AD42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649DFE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BB8548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F4FFD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08798F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2C264F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C689DA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A3526E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0489292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37A6B2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02CC7D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Povremeni porezi na imovinu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6B985F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C160DB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12.126,90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ADA492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5.984,86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8F6E59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49,4</w:t>
            </w:r>
          </w:p>
        </w:tc>
      </w:tr>
    </w:tbl>
    <w:p w14:paraId="1CFD327C" w14:textId="77777777" w:rsidR="00B07F88" w:rsidRDefault="00B07F88">
      <w:pPr>
        <w:spacing w:after="0"/>
      </w:pPr>
    </w:p>
    <w:p w14:paraId="38868D0C" w14:textId="77777777" w:rsidR="00B07F88" w:rsidRDefault="00C224A9">
      <w:pPr>
        <w:spacing w:line="240" w:lineRule="auto"/>
        <w:jc w:val="both"/>
      </w:pPr>
      <w:r>
        <w:t>Ovi prihodi su manji nego u 2024.godini, a odnose se na porez na promet nekretninama iz razloga manje kupnje nekretnina u ovom razdoblju od strane fizičkih ili pravnih osoba.</w:t>
      </w:r>
    </w:p>
    <w:p w14:paraId="1CDDE293" w14:textId="77777777" w:rsidR="00B07F88" w:rsidRDefault="00B07F88"/>
    <w:p w14:paraId="0749D362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57F690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3F0FFF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5588B9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6AE7F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50CE02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FC0B2C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459F22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78962D2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1169D8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6145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C164EED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Porezi na korištenje dobara ili izvođenje aktivnosti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DE8A34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68B7E4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639F35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DFBE59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3450172D" w14:textId="77777777" w:rsidR="00B07F88" w:rsidRDefault="00B07F88">
      <w:pPr>
        <w:spacing w:after="0"/>
      </w:pPr>
    </w:p>
    <w:p w14:paraId="7F95EEB0" w14:textId="77777777" w:rsidR="00B07F88" w:rsidRDefault="00C224A9">
      <w:pPr>
        <w:spacing w:line="240" w:lineRule="auto"/>
        <w:jc w:val="both"/>
      </w:pPr>
      <w:r>
        <w:t xml:space="preserve">Prihod ostvaren u prethodnoj godini odnosi se na uplatu </w:t>
      </w:r>
      <w:r>
        <w:t>poreza na tvrtku od strane jedne pravne osobe koja je po rješenju Porezne uprave podmirila dugovanje, dok u 2025.godini istog prihoda nije bilo.</w:t>
      </w:r>
    </w:p>
    <w:p w14:paraId="35F2D1DF" w14:textId="77777777" w:rsidR="00B07F88" w:rsidRDefault="00B07F88"/>
    <w:p w14:paraId="3F6A1C46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386600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CB6F1C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728286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064A7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636D6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68EEC5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</w:t>
            </w:r>
            <w:r>
              <w:rPr>
                <w:b/>
                <w:sz w:val="18"/>
              </w:rPr>
              <w:t>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9CDA0D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27260AA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2B88C0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D2A1333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iz inozemstva i od subjekata unutar općeg proračuna (šifre 631+632+633+634+635+636+637+638+639)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2F897C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BA1A8F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401.943,60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99C8DA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698.642,68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BB2924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173,8</w:t>
            </w:r>
          </w:p>
        </w:tc>
      </w:tr>
    </w:tbl>
    <w:p w14:paraId="79740BA0" w14:textId="77777777" w:rsidR="00B07F88" w:rsidRDefault="00B07F88">
      <w:pPr>
        <w:spacing w:after="0"/>
      </w:pPr>
    </w:p>
    <w:p w14:paraId="73EEE5BB" w14:textId="77777777" w:rsidR="00B07F88" w:rsidRDefault="00C224A9">
      <w:pPr>
        <w:spacing w:line="240" w:lineRule="auto"/>
        <w:jc w:val="both"/>
      </w:pPr>
      <w:r>
        <w:t xml:space="preserve">Ovi prihodi su nešto veći nego u istom razdoblju </w:t>
      </w:r>
      <w:r>
        <w:t>prethodne godine , jer smo u prvoj polovici 2025.godine primili kapitalne pomoći iz EU za dva prijavljena projekta.</w:t>
      </w:r>
    </w:p>
    <w:p w14:paraId="2EF02F0C" w14:textId="77777777" w:rsidR="00B07F88" w:rsidRDefault="00B07F88"/>
    <w:p w14:paraId="4F49996E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0DACB4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8FE208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DF3B4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F1DBA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8351E2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E90CE3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A04CBC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18B061F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89AB38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D7A6100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proračunu i 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E83F26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CB8247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401.943,60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519FBC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85.322,99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699CC8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21,2</w:t>
            </w:r>
          </w:p>
        </w:tc>
      </w:tr>
    </w:tbl>
    <w:p w14:paraId="41AA7115" w14:textId="77777777" w:rsidR="00B07F88" w:rsidRDefault="00B07F88">
      <w:pPr>
        <w:spacing w:after="0"/>
      </w:pPr>
    </w:p>
    <w:p w14:paraId="42C1093F" w14:textId="77777777" w:rsidR="00B07F88" w:rsidRDefault="00C224A9">
      <w:pPr>
        <w:spacing w:line="240" w:lineRule="auto"/>
        <w:jc w:val="both"/>
      </w:pPr>
      <w:r>
        <w:t xml:space="preserve">Na ovoj stavci prihoda u prvom polugodištu 2025.godine ostvareni su prihodi iz državnog proračuna za </w:t>
      </w:r>
      <w:r>
        <w:t>fiskalnu održivost dječjih vrtića koji se prihoduju mjesečno, dok je na istoj poziciji u prethodnoj godini bio i prihod za fiskalno izravnanje. Također u prvoj polovici godine na ovoj stavci prihodovana su i sredstva (refundacije od strane županije za troš</w:t>
      </w:r>
      <w:r>
        <w:t>kove održanih lokalnih izbora).</w:t>
      </w:r>
    </w:p>
    <w:p w14:paraId="028C8ED5" w14:textId="77777777" w:rsidR="00B07F88" w:rsidRDefault="00B07F88"/>
    <w:p w14:paraId="655025CB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4DA78F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C6C13A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EFAECE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11DB6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1B75C2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815DCE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F888DF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43464AB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29CC36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E8BFF72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Kapitalne pomoći proračunu i </w:t>
            </w:r>
            <w:r>
              <w:rPr>
                <w:sz w:val="18"/>
              </w:rPr>
              <w:t>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D38B5B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96252F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1D511D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256.551,77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BDCBF5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AAE6BEE" w14:textId="77777777" w:rsidR="00B07F88" w:rsidRDefault="00B07F88">
      <w:pPr>
        <w:spacing w:after="0"/>
      </w:pPr>
    </w:p>
    <w:p w14:paraId="106F94E8" w14:textId="77777777" w:rsidR="00B07F88" w:rsidRDefault="00C224A9">
      <w:pPr>
        <w:spacing w:line="240" w:lineRule="auto"/>
        <w:jc w:val="both"/>
      </w:pPr>
      <w:r>
        <w:t xml:space="preserve">Na računu kapitalne pomoći proračunu ostvareni su prihodi za dva projekta i to: sredstva za projekt rekonstrukcije malonogometnog igrališta i košarku u jednom mjesnom odboru i </w:t>
      </w:r>
      <w:proofErr w:type="spellStart"/>
      <w:r>
        <w:t>sredsta</w:t>
      </w:r>
      <w:proofErr w:type="spellEnd"/>
      <w:r>
        <w:t xml:space="preserve"> EU za dogradnju dječjeg vrtića u Svetom Đurđu, a istih prihoda u prethodnoj godini nije bilo.</w:t>
      </w:r>
    </w:p>
    <w:p w14:paraId="23B03D1C" w14:textId="77777777" w:rsidR="00B07F88" w:rsidRDefault="00B07F88"/>
    <w:p w14:paraId="3B2510D2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0D4631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03243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919A0A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CF4AB9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7273EC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D600F9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F01AEF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</w:t>
            </w:r>
            <w:r>
              <w:rPr>
                <w:b/>
                <w:sz w:val="18"/>
              </w:rPr>
              <w:t>deks (%)</w:t>
            </w:r>
          </w:p>
        </w:tc>
      </w:tr>
      <w:tr w:rsidR="00B07F88" w14:paraId="51CD79A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F112F5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3713585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fiskalnog izravnanja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1EF41A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87598B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830A02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356.767,92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23A067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2C15E53" w14:textId="77777777" w:rsidR="00B07F88" w:rsidRDefault="00B07F88">
      <w:pPr>
        <w:spacing w:after="0"/>
      </w:pPr>
    </w:p>
    <w:p w14:paraId="5F4C81BF" w14:textId="77777777" w:rsidR="00B07F88" w:rsidRDefault="00C224A9">
      <w:pPr>
        <w:spacing w:line="240" w:lineRule="auto"/>
        <w:jc w:val="both"/>
      </w:pPr>
      <w:r>
        <w:t xml:space="preserve">Prema novom Pravilniku o proračunskom računovodstvu i Računskom planu (N.N. br.154/24.) prihodi iz Državnog proračuna od pomoći fiskalnog izravnanja u prethodnoj </w:t>
      </w:r>
      <w:r>
        <w:lastRenderedPageBreak/>
        <w:t xml:space="preserve">godini knjiženi su na </w:t>
      </w:r>
      <w:r>
        <w:t>računu 6331, a od ove godine nalaze se na računu 6353 - pomoći fiskalnog izravnanja (novi konto).</w:t>
      </w:r>
    </w:p>
    <w:p w14:paraId="151A764C" w14:textId="77777777" w:rsidR="00B07F88" w:rsidRDefault="00B07F88"/>
    <w:p w14:paraId="33390964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27D620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2A1B9E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725185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AE1BFA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743CA9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47D604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EA4141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72493F8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A4BA78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6928541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imovine (šifre 641+642+643)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0EEB87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6E5683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107.073,49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F9A978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83.043,09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E73E2D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77,6</w:t>
            </w:r>
          </w:p>
        </w:tc>
      </w:tr>
    </w:tbl>
    <w:p w14:paraId="7F170F8E" w14:textId="77777777" w:rsidR="00B07F88" w:rsidRDefault="00B07F88">
      <w:pPr>
        <w:spacing w:after="0"/>
      </w:pPr>
    </w:p>
    <w:p w14:paraId="32BCC1FC" w14:textId="77777777" w:rsidR="00B07F88" w:rsidRDefault="00C224A9">
      <w:pPr>
        <w:spacing w:line="240" w:lineRule="auto"/>
        <w:jc w:val="both"/>
      </w:pPr>
      <w:r>
        <w:t xml:space="preserve">Ovi prihodi su manji nego prethodne godine jer u prvom polugodištu ove godine nije bilo uplata za zakup poljoprivrednog zemljišta, već samo uplate za zakup </w:t>
      </w:r>
      <w:r>
        <w:t xml:space="preserve">poslovnih prostora na području općine. Konto naknade za korištenje nefinancijske imovine je manji nego prethodne godine jer je u prvoj polovici godine naplaćena manja naknada za eksploataciju mineralnih sirovina, kao i manja naknada za korištenje prostora </w:t>
      </w:r>
      <w:r>
        <w:t>elektrana.</w:t>
      </w:r>
    </w:p>
    <w:p w14:paraId="0E6A9CB8" w14:textId="77777777" w:rsidR="00B07F88" w:rsidRDefault="00B07F88"/>
    <w:p w14:paraId="2B0AECDA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2627EC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2D2EE6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6D273D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872866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25B7B4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056EC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76870D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02EF1BC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AD3CA4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4FC5836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zateznih kamata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D0FA64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22A1F3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95,39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ABB606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7300B7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2A08D2EB" w14:textId="77777777" w:rsidR="00B07F88" w:rsidRDefault="00B07F88">
      <w:pPr>
        <w:spacing w:after="0"/>
      </w:pPr>
    </w:p>
    <w:p w14:paraId="2F905B5D" w14:textId="77777777" w:rsidR="00B07F88" w:rsidRDefault="00C224A9">
      <w:pPr>
        <w:spacing w:line="240" w:lineRule="auto"/>
        <w:jc w:val="both"/>
      </w:pPr>
      <w:r>
        <w:t xml:space="preserve">Konto 6414 - prihodi od </w:t>
      </w:r>
      <w:r>
        <w:t>zateznih kamata su prihodi nastali u prvoj polovici 2024.godine od obračunatih zateznih kamata prema rješenju za ovrhu od strane jedne fizičke osobe za komunalnu i vodnu naknadu, dok istog prihoda u ovoj godini nema.</w:t>
      </w:r>
    </w:p>
    <w:p w14:paraId="500DCF08" w14:textId="77777777" w:rsidR="00B07F88" w:rsidRDefault="00B07F88"/>
    <w:p w14:paraId="3CCC545A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76B41A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CCD07F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675CC6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Opis </w:t>
            </w:r>
            <w:r>
              <w:rPr>
                <w:b/>
                <w:sz w:val="18"/>
              </w:rPr>
              <w:t>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5EDA18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E18D1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EF1C1A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15DC6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7DF110B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79DDF2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C4483D3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od upravnih i administrativnih pristojbi, pristojbi po posebnim propisima i naknada (šifre </w:t>
            </w:r>
            <w:r>
              <w:rPr>
                <w:sz w:val="18"/>
              </w:rPr>
              <w:t>651+652+653+654)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8219AF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2014DC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43.896,67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CCFDF0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61.633,50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3694A3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140,4</w:t>
            </w:r>
          </w:p>
        </w:tc>
      </w:tr>
    </w:tbl>
    <w:p w14:paraId="241C5FEE" w14:textId="77777777" w:rsidR="00B07F88" w:rsidRDefault="00B07F88">
      <w:pPr>
        <w:spacing w:after="0"/>
      </w:pPr>
    </w:p>
    <w:p w14:paraId="6F9900B4" w14:textId="77777777" w:rsidR="00B07F88" w:rsidRDefault="00C224A9">
      <w:pPr>
        <w:spacing w:line="240" w:lineRule="auto"/>
        <w:jc w:val="both"/>
      </w:pPr>
      <w:r>
        <w:t>U ovoj skupini računa sve kategorije prihoda na ovom računu bilježe povećanje u promatranom razdoblju, u odnosu na prethodnu godinu, a objašnjenja su pojedinačno opisana u nastavku po svakom računu.</w:t>
      </w:r>
    </w:p>
    <w:p w14:paraId="5BBCF206" w14:textId="77777777" w:rsidR="00B07F88" w:rsidRDefault="00B07F88"/>
    <w:p w14:paraId="7A9DBB19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lastRenderedPageBreak/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4A9933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1FB601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960B06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31A3AC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60C3B2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403EB6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B284B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210A6AE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4A222B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10DAE87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ED41E4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05A14B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098F71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D0A9AF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7B4E376" w14:textId="77777777" w:rsidR="00B07F88" w:rsidRDefault="00B07F88">
      <w:pPr>
        <w:spacing w:after="0"/>
      </w:pPr>
    </w:p>
    <w:p w14:paraId="6186E5C8" w14:textId="77777777" w:rsidR="00B07F88" w:rsidRDefault="00C224A9">
      <w:pPr>
        <w:spacing w:line="240" w:lineRule="auto"/>
        <w:jc w:val="both"/>
      </w:pPr>
      <w:r>
        <w:t xml:space="preserve">U prvoj polovici godine </w:t>
      </w:r>
      <w:r>
        <w:t>ostvareni su prihodi od turističke pristojbe u iznosu od 21,87 eura, dok istog prihoda u prethodnoj godini nije bilo.</w:t>
      </w:r>
    </w:p>
    <w:p w14:paraId="0F2A012D" w14:textId="77777777" w:rsidR="00B07F88" w:rsidRDefault="00B07F88"/>
    <w:p w14:paraId="597BD4D1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15F222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A03BFA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29CEC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EF2E05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C53B5A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82B4C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</w:t>
            </w:r>
            <w:r>
              <w:rPr>
                <w:b/>
                <w:sz w:val="18"/>
              </w:rPr>
              <w:t xml:space="preserve">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5D076A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5892361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32F1DC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E753FE5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za šume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20E5CB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1C8006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141,02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6859DF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416,02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4C84DE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295,0</w:t>
            </w:r>
          </w:p>
        </w:tc>
      </w:tr>
    </w:tbl>
    <w:p w14:paraId="7C3179CC" w14:textId="77777777" w:rsidR="00B07F88" w:rsidRDefault="00B07F88">
      <w:pPr>
        <w:spacing w:after="0"/>
      </w:pPr>
    </w:p>
    <w:p w14:paraId="111A93D4" w14:textId="77777777" w:rsidR="00B07F88" w:rsidRDefault="00C224A9">
      <w:pPr>
        <w:spacing w:line="240" w:lineRule="auto"/>
        <w:jc w:val="both"/>
      </w:pPr>
      <w:r>
        <w:t>Prihod od šumskog doprinosa ostvaren je u puno većem iznosu nego prethodne godine iz razloga veće količine sječe drva na području općine.</w:t>
      </w:r>
    </w:p>
    <w:p w14:paraId="43A5E449" w14:textId="77777777" w:rsidR="00B07F88" w:rsidRDefault="00B07F88"/>
    <w:p w14:paraId="4E33AE2B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79F615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AD85CF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F3160A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A14E2E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411EAA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42456F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6E9FD2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150FDCA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AC639F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076D010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18AEB0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F2443F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1.419,90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30E21A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3.874,55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5EE8A5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272,9</w:t>
            </w:r>
          </w:p>
        </w:tc>
      </w:tr>
    </w:tbl>
    <w:p w14:paraId="1C91D7C7" w14:textId="77777777" w:rsidR="00B07F88" w:rsidRDefault="00B07F88">
      <w:pPr>
        <w:spacing w:after="0"/>
      </w:pPr>
    </w:p>
    <w:p w14:paraId="220FBB98" w14:textId="77777777" w:rsidR="00B07F88" w:rsidRDefault="00C224A9">
      <w:pPr>
        <w:spacing w:line="240" w:lineRule="auto"/>
        <w:jc w:val="both"/>
      </w:pPr>
      <w:r>
        <w:t xml:space="preserve">Prihodi na računu 65268 - ostali nespomenuti prihodi </w:t>
      </w:r>
      <w:r>
        <w:t>odnose se na uplate potrošnje plina za korištenje društvenih domova po mjesnim odborima od strane fizičkih osoba, prihode od potrošnje energenata (</w:t>
      </w:r>
      <w:proofErr w:type="spellStart"/>
      <w:r>
        <w:t>struja,voda,plin</w:t>
      </w:r>
      <w:proofErr w:type="spellEnd"/>
      <w:r>
        <w:t>) za poslovne prostore u vlasništvu općine. Na istom računu u prvoj polovici 2025.godine prok</w:t>
      </w:r>
      <w:r>
        <w:t>njiženi su i prihodi od uplate jamstva za ozbiljnost dviju ponuda po natječaju za opremanje dječjeg vrtića, te jedna uplata jamstva za zakup poslovnog prostora po natječaju.</w:t>
      </w:r>
    </w:p>
    <w:p w14:paraId="509C88F0" w14:textId="77777777" w:rsidR="00B07F88" w:rsidRDefault="00B07F88"/>
    <w:p w14:paraId="203E4D69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15CBBF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2C700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D300A1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CC07E3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5782C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</w:t>
            </w:r>
            <w:r>
              <w:rPr>
                <w:b/>
                <w:sz w:val="18"/>
              </w:rPr>
              <w:t>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40FB09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EB73F1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5CF79BC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6DB2D6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F729668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Komunalni doprinosi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00E561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6C8CA8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25D01BF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13.555,59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18A17A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2207664" w14:textId="77777777" w:rsidR="00B07F88" w:rsidRDefault="00B07F88">
      <w:pPr>
        <w:spacing w:after="0"/>
      </w:pPr>
    </w:p>
    <w:p w14:paraId="526AA448" w14:textId="77777777" w:rsidR="00B07F88" w:rsidRDefault="00C224A9">
      <w:pPr>
        <w:spacing w:line="240" w:lineRule="auto"/>
        <w:jc w:val="both"/>
      </w:pPr>
      <w:r>
        <w:t xml:space="preserve">Na računu 65311 - komunalni doprinosi - u 2025.godini uplaćeni je komunalni doprinos iz 2024.godine za izgradnju </w:t>
      </w:r>
      <w:r>
        <w:t>sunčane elektrane od strane jedne pravne osobe, te još dvije uplate za komunalni doprinos za obiteljske kuće prilikom legalizacije građevinskih objekata od strane dviju fizičkih osoba.</w:t>
      </w:r>
    </w:p>
    <w:p w14:paraId="602D42B5" w14:textId="77777777" w:rsidR="00B07F88" w:rsidRDefault="00B07F88"/>
    <w:p w14:paraId="436510D1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7B248B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42ED75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9C5893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FEECA5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C96FD9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</w:t>
            </w:r>
            <w:r>
              <w:rPr>
                <w:b/>
                <w:sz w:val="18"/>
              </w:rPr>
              <w:t>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D4C60D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BEC1F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1D64770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FC4B1D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0DA647D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4DD7CB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5C4C0E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2.356,76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DE8F99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1.817,13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37CA9B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77,1</w:t>
            </w:r>
          </w:p>
        </w:tc>
      </w:tr>
    </w:tbl>
    <w:p w14:paraId="3237DFED" w14:textId="77777777" w:rsidR="00B07F88" w:rsidRDefault="00B07F88">
      <w:pPr>
        <w:spacing w:after="0"/>
      </w:pPr>
    </w:p>
    <w:p w14:paraId="24965566" w14:textId="77777777" w:rsidR="00B07F88" w:rsidRDefault="00C224A9">
      <w:pPr>
        <w:spacing w:line="240" w:lineRule="auto"/>
        <w:jc w:val="both"/>
      </w:pPr>
      <w:r>
        <w:t>Na računu 66161 - prihodi od pruženih usluga su ostvareni prihodi od naplate 10% materijalnih troškova i troškova distribucije uplatnica za hrvatske vode, koje nam oni refundiraju. U prvoj polovici ove godine nešto su manji ti prihodi zbog manje naplate pr</w:t>
      </w:r>
      <w:r>
        <w:t>ema Hrvatskim vodama.</w:t>
      </w:r>
    </w:p>
    <w:p w14:paraId="3656FCC7" w14:textId="77777777" w:rsidR="00B07F88" w:rsidRDefault="00B07F88"/>
    <w:p w14:paraId="422C2626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7F7A72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C0611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5873D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5FB399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79E7E5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C22B04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F8DE7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3271D3F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842381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352BAFE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Kazne, upravne mjere i ostali prihodi (šifre 681+683)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DC85C7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050586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1.876,55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B1C48A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2.300,53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CDBA53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122,6</w:t>
            </w:r>
          </w:p>
        </w:tc>
      </w:tr>
    </w:tbl>
    <w:p w14:paraId="53DDDEC8" w14:textId="77777777" w:rsidR="00B07F88" w:rsidRDefault="00B07F88">
      <w:pPr>
        <w:spacing w:after="0"/>
      </w:pPr>
    </w:p>
    <w:p w14:paraId="01B88B02" w14:textId="77777777" w:rsidR="00B07F88" w:rsidRDefault="00C224A9">
      <w:pPr>
        <w:spacing w:line="240" w:lineRule="auto"/>
        <w:jc w:val="both"/>
      </w:pPr>
      <w:r>
        <w:t xml:space="preserve">Prihodi od </w:t>
      </w:r>
      <w:proofErr w:type="spellStart"/>
      <w:r>
        <w:t>kazni,upravnih</w:t>
      </w:r>
      <w:proofErr w:type="spellEnd"/>
      <w:r>
        <w:t xml:space="preserve"> mjera i ostalih prihoda u prvom polugodištu 2025.godine, sve kategorije bilježe povećanje u promatranom razdoblju, izuzev  ostalih kazni, što je pojašnjeno u pojedinačnim bilješkama pod 6819.</w:t>
      </w:r>
    </w:p>
    <w:p w14:paraId="1FB971DE" w14:textId="77777777" w:rsidR="00B07F88" w:rsidRDefault="00B07F88"/>
    <w:p w14:paraId="28521696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1A0722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39472A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6C0BD2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0E50F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4570E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09C901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70F8D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5DB6CD7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D2C6BF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6817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71F442A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Kazne za prekršaje na kulturnim dobrima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86AA45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3ED695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BAF0D7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145,72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B6325B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8F5F4C6" w14:textId="77777777" w:rsidR="00B07F88" w:rsidRDefault="00B07F88">
      <w:pPr>
        <w:spacing w:after="0"/>
      </w:pPr>
    </w:p>
    <w:p w14:paraId="1EBC2AE5" w14:textId="77777777" w:rsidR="00B07F88" w:rsidRDefault="00C224A9">
      <w:pPr>
        <w:spacing w:line="240" w:lineRule="auto"/>
        <w:jc w:val="both"/>
      </w:pPr>
      <w:r>
        <w:t xml:space="preserve">Račun 6817 - kazne za </w:t>
      </w:r>
      <w:r>
        <w:t>prekršaje na kulturnim dobrima je prihod naplaćene kazne za nezakonito odlaganje komunalnog otpada od strane jedne fizičke osobe.</w:t>
      </w:r>
    </w:p>
    <w:p w14:paraId="33C65A4D" w14:textId="77777777" w:rsidR="00B07F88" w:rsidRDefault="00B07F88"/>
    <w:p w14:paraId="5B82FDE8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7EE68C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53A77D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4D4A1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1F37F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B36ECC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AE876A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</w:t>
            </w:r>
            <w:r>
              <w:rPr>
                <w:b/>
                <w:sz w:val="18"/>
              </w:rPr>
              <w:t>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8DB85C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75CCCE1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B70C9E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6819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26BFFDD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kazne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437B82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BE5E2DF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355,17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3D6B23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238,12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440DA8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67,0</w:t>
            </w:r>
          </w:p>
        </w:tc>
      </w:tr>
    </w:tbl>
    <w:p w14:paraId="4D0BC71C" w14:textId="77777777" w:rsidR="00B07F88" w:rsidRDefault="00B07F88">
      <w:pPr>
        <w:spacing w:after="0"/>
      </w:pPr>
    </w:p>
    <w:p w14:paraId="57E26D30" w14:textId="77777777" w:rsidR="00B07F88" w:rsidRDefault="00C224A9">
      <w:pPr>
        <w:spacing w:line="240" w:lineRule="auto"/>
        <w:jc w:val="both"/>
      </w:pPr>
      <w:r>
        <w:lastRenderedPageBreak/>
        <w:t xml:space="preserve">Ovaj prihod je manji nego prethodne godine jer se u 2025.godini izvršena uplata samo jedne naknade za zadržane nezakonito izgrađene zgrade u prostoru, odnosno </w:t>
      </w:r>
      <w:r>
        <w:t>legalizacija građevinskog objekta od strane jedne fizičke osobe, dok je u prošloj godini bilo više uplata.</w:t>
      </w:r>
    </w:p>
    <w:p w14:paraId="2483B97C" w14:textId="77777777" w:rsidR="00B07F88" w:rsidRDefault="00B07F88"/>
    <w:p w14:paraId="6C6F84DD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1BD205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4902AE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F8925F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14131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2D2543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FB2EE4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</w:t>
            </w:r>
            <w:r>
              <w:rPr>
                <w:b/>
                <w:sz w:val="18"/>
              </w:rPr>
              <w:t>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42B97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089CE5C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37BE08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C82356F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48DF2E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A6CB4B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1.521,38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D1BF14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1.916,69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9C635F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126,0</w:t>
            </w:r>
          </w:p>
        </w:tc>
      </w:tr>
    </w:tbl>
    <w:p w14:paraId="06284BA8" w14:textId="77777777" w:rsidR="00B07F88" w:rsidRDefault="00B07F88">
      <w:pPr>
        <w:spacing w:after="0"/>
      </w:pPr>
    </w:p>
    <w:p w14:paraId="52EB1444" w14:textId="77777777" w:rsidR="00B07F88" w:rsidRDefault="00C224A9">
      <w:pPr>
        <w:spacing w:line="240" w:lineRule="auto"/>
        <w:jc w:val="both"/>
      </w:pPr>
      <w:r>
        <w:t>Na ovoj stavci ostalih prihoda u prvoj polovici 2025.godine su prihodi od povrata duplo uplaćenih sredstava po pojedinom računu, te povrat sredstava od HZZO-a.</w:t>
      </w:r>
    </w:p>
    <w:p w14:paraId="1F75634D" w14:textId="77777777" w:rsidR="00B07F88" w:rsidRDefault="00B07F88"/>
    <w:p w14:paraId="756F3857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485355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D16AB9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F824A1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A22422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50F8B5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61EEC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11220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4B40EE6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F31D94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CC29DA4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26857B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DB7E8D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124.448,70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92A9E9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164.470,55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8D27EA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132,2</w:t>
            </w:r>
          </w:p>
        </w:tc>
      </w:tr>
    </w:tbl>
    <w:p w14:paraId="1507FB88" w14:textId="77777777" w:rsidR="00B07F88" w:rsidRDefault="00B07F88">
      <w:pPr>
        <w:spacing w:after="0"/>
      </w:pPr>
    </w:p>
    <w:p w14:paraId="6E4956C3" w14:textId="77777777" w:rsidR="00B07F88" w:rsidRDefault="00C224A9">
      <w:pPr>
        <w:spacing w:line="240" w:lineRule="auto"/>
        <w:jc w:val="both"/>
      </w:pPr>
      <w:r>
        <w:t xml:space="preserve">Rashodi za zaposlene u prvom </w:t>
      </w:r>
      <w:r>
        <w:t>polugodištu 2025.godine iznose 124.448,70 eura, što je 132,2% više u odnosu na rashode za zaposlene u prvom polugodištu 2024.godine. Sve kategorije rashoda za zaposlene bilježe povećanje u promatranom razdoblju, izuzev konta 3112 - plaće u naravi (što se o</w:t>
      </w:r>
      <w:r>
        <w:t>dnosi na dnevne obroke, odnosno prehranu djelatnika).</w:t>
      </w:r>
    </w:p>
    <w:p w14:paraId="0E926630" w14:textId="77777777" w:rsidR="00B07F88" w:rsidRDefault="00B07F88"/>
    <w:p w14:paraId="2166EFEB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10E54B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0ED1D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957CFA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E8421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3B1EF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203B62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92DAEC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5F67AF2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9511AD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CD3EDEB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5B2292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49F87B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76.300,15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CE5E6D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100.030,47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0949F9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131,1</w:t>
            </w:r>
          </w:p>
        </w:tc>
      </w:tr>
    </w:tbl>
    <w:p w14:paraId="27B7088B" w14:textId="77777777" w:rsidR="00B07F88" w:rsidRDefault="00B07F88">
      <w:pPr>
        <w:spacing w:after="0"/>
      </w:pPr>
    </w:p>
    <w:p w14:paraId="33CF77C4" w14:textId="77777777" w:rsidR="00B07F88" w:rsidRDefault="00C224A9">
      <w:pPr>
        <w:spacing w:line="240" w:lineRule="auto"/>
        <w:jc w:val="both"/>
      </w:pPr>
      <w:r>
        <w:t xml:space="preserve">U prvom polugodištu 2025.godine veći su rashodi za plaće za redovan rad (131,1%) iz razloga povećanja koeficijenata i osnovice početkom ove godine za sve zaposlene, također se i povećanje odnosi i na poreze i doprinose za </w:t>
      </w:r>
      <w:r>
        <w:t>mirovinsko i zdravstveno osiguranje.</w:t>
      </w:r>
    </w:p>
    <w:p w14:paraId="393267AE" w14:textId="77777777" w:rsidR="00B07F88" w:rsidRDefault="00B07F88"/>
    <w:p w14:paraId="5DC05101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71A1EA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F0888D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B3665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6AA8C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DA57A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6073D5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48A30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2E43002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B89B79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4316061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4B209D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2EE36D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8.504,50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7D7B5DF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13.808,66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690DCB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162,4</w:t>
            </w:r>
          </w:p>
        </w:tc>
      </w:tr>
    </w:tbl>
    <w:p w14:paraId="5B69EF72" w14:textId="77777777" w:rsidR="00B07F88" w:rsidRDefault="00B07F88">
      <w:pPr>
        <w:spacing w:after="0"/>
      </w:pPr>
    </w:p>
    <w:p w14:paraId="0A13DE5B" w14:textId="77777777" w:rsidR="00B07F88" w:rsidRDefault="00C224A9">
      <w:pPr>
        <w:spacing w:line="240" w:lineRule="auto"/>
        <w:jc w:val="both"/>
      </w:pPr>
      <w:r>
        <w:lastRenderedPageBreak/>
        <w:t xml:space="preserve">Na ostalim rashodima za zaposlene nalazi se u toj skupini najveće odstupanje (162,4%) u odnosu na prethodnu godinu, a odnosi se na iste rashode kao i u 2024.godine, osim što je u prvoj polovici 2025.godine isplaćena jedna </w:t>
      </w:r>
      <w:r>
        <w:t>otpremnina za djelatnika koji je odlazio u mirovinu.</w:t>
      </w:r>
    </w:p>
    <w:p w14:paraId="3745F8CA" w14:textId="77777777" w:rsidR="00B07F88" w:rsidRDefault="00B07F88"/>
    <w:p w14:paraId="12662BE9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6BDFFB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AF4AE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98824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48893F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C60A42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844DAF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A505E6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44ABDA6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BD919E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588082E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Materijalni rashodi (šifre </w:t>
            </w:r>
            <w:r>
              <w:rPr>
                <w:sz w:val="18"/>
              </w:rPr>
              <w:t>321+322+323+324+325+329)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AEA5E0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1E620F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285.257,53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A4B1A4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253.478,96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3FB267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88,9</w:t>
            </w:r>
          </w:p>
        </w:tc>
      </w:tr>
    </w:tbl>
    <w:p w14:paraId="0FE5A796" w14:textId="77777777" w:rsidR="00B07F88" w:rsidRDefault="00B07F88">
      <w:pPr>
        <w:spacing w:after="0"/>
      </w:pPr>
    </w:p>
    <w:p w14:paraId="785AF1FE" w14:textId="77777777" w:rsidR="00B07F88" w:rsidRDefault="00C224A9">
      <w:pPr>
        <w:spacing w:line="240" w:lineRule="auto"/>
        <w:jc w:val="both"/>
      </w:pPr>
      <w:r>
        <w:t xml:space="preserve">Skupina računa 32 - materijalni rashodi u prvom polugodištu 2025.godine ostvareni su nešto manji (88,9%) nego u istom razdoblju prethodne godine, osim na nekoliko pozicija koje su veće nego u </w:t>
      </w:r>
      <w:r>
        <w:t>2024.godini. Za veća odstupanja pojašnjeno je uz pojedine šifre računa.</w:t>
      </w:r>
    </w:p>
    <w:p w14:paraId="54028892" w14:textId="77777777" w:rsidR="00B07F88" w:rsidRDefault="00B07F88"/>
    <w:p w14:paraId="003E2714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7348FA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6DDC2A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A43669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C84BCF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11332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E4D2D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7929E4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6F8253C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D11911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DBB8FB2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 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84766D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C040D7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399,20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843AB7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CD6AAC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4,2</w:t>
            </w:r>
          </w:p>
        </w:tc>
      </w:tr>
    </w:tbl>
    <w:p w14:paraId="75D4C68B" w14:textId="77777777" w:rsidR="00B07F88" w:rsidRDefault="00B07F88">
      <w:pPr>
        <w:spacing w:after="0"/>
      </w:pPr>
    </w:p>
    <w:p w14:paraId="7ED1A6D2" w14:textId="77777777" w:rsidR="00B07F88" w:rsidRDefault="00C224A9">
      <w:pPr>
        <w:spacing w:line="240" w:lineRule="auto"/>
        <w:jc w:val="both"/>
      </w:pPr>
      <w:r>
        <w:t>Račun 3211 za službena putovanja manji je puno nego prethodne godine, jer se u ovoj godini izvršila isplata samo dviju cestarina.</w:t>
      </w:r>
    </w:p>
    <w:p w14:paraId="4BF9CEE2" w14:textId="77777777" w:rsidR="00B07F88" w:rsidRDefault="00B07F88"/>
    <w:p w14:paraId="49829309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1B6389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4F9F6E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A40CA9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869718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5F5C8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6E1ED5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A19F2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203A2D4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ABBB72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42E30C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materijal i energiju (šifre 3221 do 3227)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0D2D02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8483EA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62.260,43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C567D8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45.991,30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2DC062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73,9</w:t>
            </w:r>
          </w:p>
        </w:tc>
      </w:tr>
    </w:tbl>
    <w:p w14:paraId="72E77659" w14:textId="77777777" w:rsidR="00B07F88" w:rsidRDefault="00B07F88">
      <w:pPr>
        <w:spacing w:after="0"/>
      </w:pPr>
    </w:p>
    <w:p w14:paraId="34B41CB5" w14:textId="77777777" w:rsidR="00B07F88" w:rsidRDefault="00C224A9">
      <w:pPr>
        <w:spacing w:line="240" w:lineRule="auto"/>
        <w:jc w:val="both"/>
      </w:pPr>
      <w:r>
        <w:t xml:space="preserve">Na ovom računu računskog plana 322- rashodi za materijal i </w:t>
      </w:r>
      <w:r>
        <w:t>energiju svi rashodi su manji nego u istom razdoblju prethodne godine (iz razloga manjih utroška za pojedini materijal i manji utrošak energenata), osim računa 3221 koji smo pojasnili u posebnoj bilješki.</w:t>
      </w:r>
    </w:p>
    <w:p w14:paraId="7CBE26A3" w14:textId="77777777" w:rsidR="00B07F88" w:rsidRDefault="00B07F88"/>
    <w:p w14:paraId="25DD4815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20453A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2313B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B71A69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7CEEF6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E80B6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0AB641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FE9FCD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0B6B931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D61E8E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35EF345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Uredski materijal i ostali materijalni rashodi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A77510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4295DF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1.454,72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87C4230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2.553,55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03EB6E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175,5</w:t>
            </w:r>
          </w:p>
        </w:tc>
      </w:tr>
    </w:tbl>
    <w:p w14:paraId="38F66858" w14:textId="77777777" w:rsidR="00B07F88" w:rsidRDefault="00B07F88">
      <w:pPr>
        <w:spacing w:after="0"/>
      </w:pPr>
    </w:p>
    <w:p w14:paraId="600DB808" w14:textId="77777777" w:rsidR="00B07F88" w:rsidRDefault="00C224A9">
      <w:pPr>
        <w:spacing w:line="240" w:lineRule="auto"/>
        <w:jc w:val="both"/>
      </w:pPr>
      <w:r>
        <w:lastRenderedPageBreak/>
        <w:t xml:space="preserve">Rashodi za uredski materijal i ostali </w:t>
      </w:r>
      <w:r>
        <w:t xml:space="preserve">materijalni rashodi u prvom polugodištu 2025.godine veći su za 175,5% u odnosu na rashode u promatranom razdoblju prethodne godine jer se u ovoj godini više sredstava izdvajalo za literaturu (odnosno pretplate na stručnu "Novi informator", "Zakon o javnoj </w:t>
      </w:r>
      <w:r>
        <w:t xml:space="preserve">nabavi" i "Informator </w:t>
      </w:r>
      <w:proofErr w:type="spellStart"/>
      <w:r>
        <w:t>premium</w:t>
      </w:r>
      <w:proofErr w:type="spellEnd"/>
      <w:r>
        <w:t>".</w:t>
      </w:r>
    </w:p>
    <w:p w14:paraId="0959F05D" w14:textId="77777777" w:rsidR="00B07F88" w:rsidRDefault="00B07F88"/>
    <w:p w14:paraId="5A66D103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103AEB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6D46E4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457AC3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834DD3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4D8053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40E6D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E49528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5DAB289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5E3BA0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D224E21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usluge (šifre 3231 do 3239)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1C1C22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701D83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152.500,18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2930A3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177.016,16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3BB569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116,1</w:t>
            </w:r>
          </w:p>
        </w:tc>
      </w:tr>
    </w:tbl>
    <w:p w14:paraId="0A418346" w14:textId="77777777" w:rsidR="00B07F88" w:rsidRDefault="00B07F88">
      <w:pPr>
        <w:spacing w:after="0"/>
      </w:pPr>
    </w:p>
    <w:p w14:paraId="0E55DA6B" w14:textId="77777777" w:rsidR="00B07F88" w:rsidRDefault="00C224A9">
      <w:pPr>
        <w:spacing w:line="240" w:lineRule="auto"/>
        <w:jc w:val="both"/>
      </w:pPr>
      <w:r>
        <w:t>Rashodi za usluge u prvom polugodištu 2025.godine ostvareni su za 116,1% veći u odnosu na ostvarene rashode u promatranom razdoblju prethodne godine, izuzev usluga telefona, interneta, pošte i intelektualnih usluga.</w:t>
      </w:r>
    </w:p>
    <w:p w14:paraId="0EA8E103" w14:textId="77777777" w:rsidR="00B07F88" w:rsidRDefault="00B07F88"/>
    <w:p w14:paraId="7FCCF505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351064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E0C536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FAA752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F1D49F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76BDE4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5F9D68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2686D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704C02E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FD1BCF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20BF20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Zakupnine i najamnine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50E9D2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26E3CB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6.270,23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FDE007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21.202,33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883AFE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338,1</w:t>
            </w:r>
          </w:p>
        </w:tc>
      </w:tr>
    </w:tbl>
    <w:p w14:paraId="2F194A71" w14:textId="77777777" w:rsidR="00B07F88" w:rsidRDefault="00B07F88">
      <w:pPr>
        <w:spacing w:after="0"/>
      </w:pPr>
    </w:p>
    <w:p w14:paraId="78498CC4" w14:textId="77777777" w:rsidR="00B07F88" w:rsidRDefault="00C224A9">
      <w:pPr>
        <w:spacing w:line="240" w:lineRule="auto"/>
        <w:jc w:val="both"/>
      </w:pPr>
      <w:r>
        <w:t xml:space="preserve">Račun iz računskog plana 3235 - </w:t>
      </w:r>
      <w:r>
        <w:t>zakupnine i najamnine - rashodi su veći za 338,1% u odnosu na prethodnu godinu, jer se u 2024.godini na ovom računu knjižio samo sufinanciranje najma zgrade OŠ, dok se od ove godine na tom računu knjiže i mjesečni najmi aparata za kavu i vodu, te najam fot</w:t>
      </w:r>
      <w:r>
        <w:t>okopirnog aparata.</w:t>
      </w:r>
    </w:p>
    <w:p w14:paraId="38AA327D" w14:textId="77777777" w:rsidR="00B07F88" w:rsidRDefault="00B07F88"/>
    <w:p w14:paraId="745FC5D7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2FFF94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35C08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285CA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77497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490E33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B2A36E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3471D4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7312F5E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F88A30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BDA5A9C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D2E038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F0C479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1.478,88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5AE20D0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2.944,00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2D90A5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199,1</w:t>
            </w:r>
          </w:p>
        </w:tc>
      </w:tr>
    </w:tbl>
    <w:p w14:paraId="3970E208" w14:textId="77777777" w:rsidR="00B07F88" w:rsidRDefault="00B07F88">
      <w:pPr>
        <w:spacing w:after="0"/>
      </w:pPr>
    </w:p>
    <w:p w14:paraId="3A9C2672" w14:textId="77777777" w:rsidR="00B07F88" w:rsidRDefault="00C224A9">
      <w:pPr>
        <w:spacing w:line="240" w:lineRule="auto"/>
        <w:jc w:val="both"/>
      </w:pPr>
      <w:r>
        <w:t>Zdravstvene i veterinarske usluge veće su u odnosu na prethodnu godinu za 199,1% iz razloga plaćanja police zdravstvenog sistematskog pregleda svih zaposlenika, te dva liječnika pregleda za dvije nove djelatnice prilikom zaposlenja, što nije bio slučaj u 2</w:t>
      </w:r>
      <w:r>
        <w:t>024.godini.</w:t>
      </w:r>
    </w:p>
    <w:p w14:paraId="137BBF94" w14:textId="77777777" w:rsidR="00B07F88" w:rsidRDefault="00B07F88"/>
    <w:p w14:paraId="0D715448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lastRenderedPageBreak/>
        <w:t>Bilješka 31.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22AADF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BAF485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436C28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990C33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760048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F59875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E6933A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596ACEF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5D685C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A793C0E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 (šifre 3291 do 3299)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01CC7D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80EA45E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65.284,79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C44C2B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25.757,59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AAD2ED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39,5</w:t>
            </w:r>
          </w:p>
        </w:tc>
      </w:tr>
    </w:tbl>
    <w:p w14:paraId="7193107A" w14:textId="77777777" w:rsidR="00B07F88" w:rsidRDefault="00B07F88">
      <w:pPr>
        <w:spacing w:after="0"/>
      </w:pPr>
    </w:p>
    <w:p w14:paraId="31EC1959" w14:textId="77777777" w:rsidR="00B07F88" w:rsidRDefault="00C224A9">
      <w:pPr>
        <w:spacing w:line="240" w:lineRule="auto"/>
        <w:jc w:val="both"/>
      </w:pPr>
      <w:r>
        <w:t xml:space="preserve">Pod ostalim nespomenutim rashodima poslovanja rashodi su manji nego u istom razdoblju prethodne godine (39,5%), izuzev troškova reprezentacije, pristojbe i naknade, te članarine, a koji su pojedinačno pojašnjeni u </w:t>
      </w:r>
      <w:r>
        <w:t>nastavku.</w:t>
      </w:r>
    </w:p>
    <w:p w14:paraId="49953D14" w14:textId="77777777" w:rsidR="00B07F88" w:rsidRDefault="00B07F88"/>
    <w:p w14:paraId="7D55089F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32.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08C9B5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38AC3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341FA4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AE7FA3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637EBC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01C911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8B51B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2B78709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51B7F9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0B8E26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Reprezentacija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58EE3E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B8A156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5.834,77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121E82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11.490,63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2938E5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196,9</w:t>
            </w:r>
          </w:p>
        </w:tc>
      </w:tr>
    </w:tbl>
    <w:p w14:paraId="46847B64" w14:textId="77777777" w:rsidR="00B07F88" w:rsidRDefault="00B07F88">
      <w:pPr>
        <w:spacing w:after="0"/>
      </w:pPr>
    </w:p>
    <w:p w14:paraId="637E950D" w14:textId="77777777" w:rsidR="00B07F88" w:rsidRDefault="00C224A9">
      <w:pPr>
        <w:spacing w:line="240" w:lineRule="auto"/>
        <w:jc w:val="both"/>
      </w:pPr>
      <w:r>
        <w:t xml:space="preserve">Troškovi </w:t>
      </w:r>
      <w:r>
        <w:t>reprezentacije povećani su u odnosu na 2024.godinu iz razloga većih troškova za proslavu Dana općine.</w:t>
      </w:r>
    </w:p>
    <w:p w14:paraId="0A28F8E1" w14:textId="77777777" w:rsidR="00B07F88" w:rsidRDefault="00B07F88"/>
    <w:p w14:paraId="60E08B74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33.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7E8633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52D86E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45AE09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3239F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E71A32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E4A9A3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4C91E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ndeks (%)</w:t>
            </w:r>
          </w:p>
        </w:tc>
      </w:tr>
      <w:tr w:rsidR="00B07F88" w14:paraId="1B0FAC6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819E19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09B110D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Članarine i norme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EA1630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61E9A8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564,96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4DB10A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1.129,92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8DB2C3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200</w:t>
            </w:r>
          </w:p>
        </w:tc>
      </w:tr>
    </w:tbl>
    <w:p w14:paraId="43566CF2" w14:textId="77777777" w:rsidR="00B07F88" w:rsidRDefault="00B07F88">
      <w:pPr>
        <w:spacing w:after="0"/>
      </w:pPr>
    </w:p>
    <w:p w14:paraId="659E6537" w14:textId="77777777" w:rsidR="00B07F88" w:rsidRDefault="00C224A9">
      <w:pPr>
        <w:spacing w:line="240" w:lineRule="auto"/>
        <w:jc w:val="both"/>
      </w:pPr>
      <w:r>
        <w:t>U 2024.godini članski doprinos nije bio uplaćen u cijelom iznosu već samo dio.</w:t>
      </w:r>
    </w:p>
    <w:p w14:paraId="089DDF01" w14:textId="77777777" w:rsidR="00B07F88" w:rsidRDefault="00B07F88"/>
    <w:p w14:paraId="2B80CBAF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34.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6BE1BD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12B366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78F3B8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2AC55F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E273CD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815259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40E6C5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0F553BA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2253BE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5F37106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43B438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65954C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139,19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1D4CFE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683,72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1F7195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491,2</w:t>
            </w:r>
          </w:p>
        </w:tc>
      </w:tr>
    </w:tbl>
    <w:p w14:paraId="53DDEC9A" w14:textId="77777777" w:rsidR="00B07F88" w:rsidRDefault="00B07F88">
      <w:pPr>
        <w:spacing w:after="0"/>
      </w:pPr>
    </w:p>
    <w:p w14:paraId="03CAAA9D" w14:textId="77777777" w:rsidR="00B07F88" w:rsidRDefault="00C224A9">
      <w:pPr>
        <w:spacing w:line="240" w:lineRule="auto"/>
        <w:jc w:val="both"/>
      </w:pPr>
      <w:r>
        <w:t xml:space="preserve">Šifra računa 3295 - pristojbe i naknade - veći rashod je nego prethodne godine, a odnosi se na račun za ovjeru ugovora kod javnog </w:t>
      </w:r>
      <w:r>
        <w:t>bilježnika, što nije bio slučaj u 2024.godini.</w:t>
      </w:r>
    </w:p>
    <w:p w14:paraId="10FFF446" w14:textId="77777777" w:rsidR="00B07F88" w:rsidRDefault="00B07F88"/>
    <w:p w14:paraId="464ACD7D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lastRenderedPageBreak/>
        <w:t>Bilješka 35.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32CCA6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BA06C2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A20BDC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ADA00F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E22E93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219B84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57CFD3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7FEFCBD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15925E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69D26A6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Ostali nespomenuti rashodi </w:t>
            </w:r>
            <w:r>
              <w:rPr>
                <w:sz w:val="18"/>
              </w:rPr>
              <w:t>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E06394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59043A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48.629,85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03E849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4.276,54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F2E960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8,8</w:t>
            </w:r>
          </w:p>
        </w:tc>
      </w:tr>
    </w:tbl>
    <w:p w14:paraId="2D6BA0EB" w14:textId="77777777" w:rsidR="00B07F88" w:rsidRDefault="00B07F88">
      <w:pPr>
        <w:spacing w:after="0"/>
      </w:pPr>
    </w:p>
    <w:p w14:paraId="150918A3" w14:textId="77777777" w:rsidR="00B07F88" w:rsidRDefault="00C224A9">
      <w:pPr>
        <w:spacing w:line="240" w:lineRule="auto"/>
        <w:jc w:val="both"/>
      </w:pPr>
      <w:r>
        <w:t>Na ovoj stavci rashoda 3299 - ostali nespomenuti rashodi poslovanja nalaze se puno veći rashodi u 2024.godini nego u ovoj godini i to za organizaciju održavanja Dana općine "</w:t>
      </w:r>
      <w:proofErr w:type="spellStart"/>
      <w:r>
        <w:t>Đurđevo</w:t>
      </w:r>
      <w:proofErr w:type="spellEnd"/>
      <w:r>
        <w:t xml:space="preserve"> 2024" (koncerti, </w:t>
      </w:r>
      <w:proofErr w:type="spellStart"/>
      <w:r>
        <w:t>lokovna</w:t>
      </w:r>
      <w:proofErr w:type="spellEnd"/>
      <w:r>
        <w:t xml:space="preserve"> </w:t>
      </w:r>
      <w:r>
        <w:t>kolonija, kazališne predstave, natjecanje u kuharstvu...), dok veće proslave Dana općine u 2025.godini nije bilo.</w:t>
      </w:r>
    </w:p>
    <w:p w14:paraId="1902E0B6" w14:textId="77777777" w:rsidR="00B07F88" w:rsidRDefault="00B07F88"/>
    <w:p w14:paraId="1E736223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36.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714DD9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889F26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4E44C1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B072AE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2C83DC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CB5221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</w:t>
            </w:r>
            <w:r>
              <w:rPr>
                <w:b/>
                <w:sz w:val="18"/>
              </w:rPr>
              <w:t>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1AB991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13A59C6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B1022C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BAD399C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Financijski rashodi (šifre 341+342+343)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87F787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2FD893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5.449,94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9453D9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38.206,71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617A83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701,0</w:t>
            </w:r>
          </w:p>
        </w:tc>
      </w:tr>
    </w:tbl>
    <w:p w14:paraId="536EDB36" w14:textId="77777777" w:rsidR="00B07F88" w:rsidRDefault="00B07F88">
      <w:pPr>
        <w:spacing w:after="0"/>
      </w:pPr>
    </w:p>
    <w:p w14:paraId="5EDC953F" w14:textId="77777777" w:rsidR="00B07F88" w:rsidRDefault="00C224A9">
      <w:pPr>
        <w:spacing w:line="240" w:lineRule="auto"/>
        <w:jc w:val="both"/>
      </w:pPr>
      <w:r>
        <w:t xml:space="preserve">Na skupini računa 34 - financijski rashodi - puno je veće odstupanje u odnosu na prethodnu godinu zbog nove stavke u prvoj polovici 2025.godine pod </w:t>
      </w:r>
      <w:r>
        <w:t>ostalim nespomenutim financijskim rashodima i zateznim kamatama (pojašnjenja se nalaze u nastavku za svaku poziciju pojedinačno).</w:t>
      </w:r>
    </w:p>
    <w:p w14:paraId="4F568653" w14:textId="77777777" w:rsidR="00B07F88" w:rsidRDefault="00B07F88"/>
    <w:p w14:paraId="456C0255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37.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075EBF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A24B19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27DE36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84BF8C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B51023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38E3FD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</w:t>
            </w:r>
            <w:r>
              <w:rPr>
                <w:b/>
                <w:sz w:val="18"/>
              </w:rPr>
              <w:t>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8F0926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5EC696A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D3A864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AEFE24A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Zatezne kamate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C9022D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657BA0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446599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FA421A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1548,1</w:t>
            </w:r>
          </w:p>
        </w:tc>
      </w:tr>
    </w:tbl>
    <w:p w14:paraId="038EF2F2" w14:textId="77777777" w:rsidR="00B07F88" w:rsidRDefault="00B07F88">
      <w:pPr>
        <w:spacing w:after="0"/>
      </w:pPr>
    </w:p>
    <w:p w14:paraId="1E0AD2B5" w14:textId="77777777" w:rsidR="00B07F88" w:rsidRDefault="00C224A9">
      <w:pPr>
        <w:spacing w:line="240" w:lineRule="auto"/>
        <w:jc w:val="both"/>
      </w:pPr>
      <w:r>
        <w:t xml:space="preserve">Najveće povećanje stavke rashoda je na ovoj poziciji zateznih kamata (1548,1%), iz razloga plaćenih dvaju računa za obračun zateznih kamata u prvoj polovici </w:t>
      </w:r>
      <w:r>
        <w:t>2025.godine, dok istih većih rashoda u prethodnoj godini nije bilo.</w:t>
      </w:r>
    </w:p>
    <w:p w14:paraId="2042245A" w14:textId="77777777" w:rsidR="00B07F88" w:rsidRDefault="00B07F88"/>
    <w:p w14:paraId="247945D2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38.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594535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785ACF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40A904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A0D4E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152CBC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6221AE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B2F3F1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49C2BC3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1B83A6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D96509E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Ostali </w:t>
            </w:r>
            <w:r>
              <w:rPr>
                <w:sz w:val="18"/>
              </w:rPr>
              <w:t>nespomenuti financijski rashodi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9FAB05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70AEC4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1.631,98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ED67C6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34.676,16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B2F737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2124,8</w:t>
            </w:r>
          </w:p>
        </w:tc>
      </w:tr>
    </w:tbl>
    <w:p w14:paraId="4EBA7B05" w14:textId="77777777" w:rsidR="00B07F88" w:rsidRDefault="00B07F88">
      <w:pPr>
        <w:spacing w:after="0"/>
      </w:pPr>
    </w:p>
    <w:p w14:paraId="630E49C7" w14:textId="77777777" w:rsidR="00B07F88" w:rsidRDefault="00C224A9">
      <w:pPr>
        <w:spacing w:line="240" w:lineRule="auto"/>
        <w:jc w:val="both"/>
      </w:pPr>
      <w:r>
        <w:t xml:space="preserve">Pod ostalim nespomenutim financijskim rashodima u 2025.godini povećanje od (2124,8%) u odnosu na prethodnu godinu odnosi se na troškove provedenih lokalnih izbora u svibnju </w:t>
      </w:r>
      <w:r>
        <w:lastRenderedPageBreak/>
        <w:t>2025.godine i to isplate naknada iz proračuna za članove biračkih odbora, članove izbornog povjerenstva, te dio materijalnih troškova.</w:t>
      </w:r>
    </w:p>
    <w:p w14:paraId="363144C4" w14:textId="77777777" w:rsidR="00B07F88" w:rsidRDefault="00B07F88"/>
    <w:p w14:paraId="1B27D525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39.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265489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2899EC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A5D664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1E8422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BFE2F8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731D0A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</w:t>
            </w:r>
            <w:r>
              <w:rPr>
                <w:b/>
                <w:sz w:val="18"/>
              </w:rPr>
              <w:t>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2DAD0C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795144B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38C6D7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130CF64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Subvencije (šifre 351+352+353)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910C64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9522BB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12.320,00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6247EE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18.154,79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6E7A2A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147,4</w:t>
            </w:r>
          </w:p>
        </w:tc>
      </w:tr>
    </w:tbl>
    <w:p w14:paraId="3DC722A9" w14:textId="77777777" w:rsidR="00B07F88" w:rsidRDefault="00B07F88">
      <w:pPr>
        <w:spacing w:after="0"/>
      </w:pPr>
    </w:p>
    <w:p w14:paraId="1B898E21" w14:textId="77777777" w:rsidR="00B07F88" w:rsidRDefault="00C224A9">
      <w:pPr>
        <w:spacing w:line="240" w:lineRule="auto"/>
        <w:jc w:val="both"/>
      </w:pPr>
      <w:r>
        <w:t xml:space="preserve">Rashodi - subvencije u prvom polugodištu 2025.godine veći su (147,4%) u odnosu na iste rashode u prvom polugodištu 2025.godine. Sve </w:t>
      </w:r>
      <w:r>
        <w:t>kategorije u ovoj skupini računa bilježe povećanje u promatranom razdoblju, a pojašnjenja su opisana za svaku stavku pojedinačno.</w:t>
      </w:r>
    </w:p>
    <w:p w14:paraId="071E4E93" w14:textId="77777777" w:rsidR="00B07F88" w:rsidRDefault="00B07F88"/>
    <w:p w14:paraId="30B914ED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40.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4ABB19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64926D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5240A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8642F3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C30B76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9BADFF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</w:t>
            </w:r>
            <w:r>
              <w:rPr>
                <w:b/>
                <w:sz w:val="18"/>
              </w:rPr>
              <w:t>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6EDA5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1333873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BF61C1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715D205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Subvencije trgovačkim društvima u javnom sektoru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2710C4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BAE7ED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6035D4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FDF1D6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AD644BC" w14:textId="77777777" w:rsidR="00B07F88" w:rsidRDefault="00B07F88">
      <w:pPr>
        <w:spacing w:after="0"/>
      </w:pPr>
    </w:p>
    <w:p w14:paraId="4917A348" w14:textId="77777777" w:rsidR="00B07F88" w:rsidRDefault="00C224A9">
      <w:pPr>
        <w:spacing w:line="240" w:lineRule="auto"/>
        <w:jc w:val="both"/>
      </w:pPr>
      <w:r>
        <w:t xml:space="preserve">Šifra računa 3512 - subvencije trgovačkim društvima u javnom sektoru - ovog rashoda u prethodnoj godini nije bilo, a u </w:t>
      </w:r>
      <w:r>
        <w:t xml:space="preserve">2025.godini odnosi se na sufinanciranje boravka djece koji se nisu mogli upisati u općinski dječji </w:t>
      </w:r>
      <w:proofErr w:type="spellStart"/>
      <w:r>
        <w:t>vrić</w:t>
      </w:r>
      <w:proofErr w:type="spellEnd"/>
      <w:r>
        <w:t>, pa su morali izvan područja općine, te im iz tog razloga općina sufinancira dječji vrtić.</w:t>
      </w:r>
    </w:p>
    <w:p w14:paraId="2ADFE9D5" w14:textId="77777777" w:rsidR="00B07F88" w:rsidRDefault="00B07F88"/>
    <w:p w14:paraId="6B1A60B3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41.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70255C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FCA87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D6C2CE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FC24E4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20005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</w:t>
            </w:r>
            <w:r>
              <w:rPr>
                <w:b/>
                <w:sz w:val="18"/>
              </w:rPr>
              <w:t xml:space="preserve">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B8F3D3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6EBBBE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6F994D9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6A3E45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AE3BEFF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Subvencije poljoprivrednicima i obrtnicima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2325FC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751D39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12.320,00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8EEE41C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16.954,79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B1B5D3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137,6</w:t>
            </w:r>
          </w:p>
        </w:tc>
      </w:tr>
    </w:tbl>
    <w:p w14:paraId="6741C5C9" w14:textId="77777777" w:rsidR="00B07F88" w:rsidRDefault="00B07F88">
      <w:pPr>
        <w:spacing w:after="0"/>
      </w:pPr>
    </w:p>
    <w:p w14:paraId="614D91A6" w14:textId="77777777" w:rsidR="00B07F88" w:rsidRDefault="00C224A9">
      <w:pPr>
        <w:spacing w:line="240" w:lineRule="auto"/>
        <w:jc w:val="both"/>
      </w:pPr>
      <w:r>
        <w:t xml:space="preserve">Šifra računa 3523 - subvencije poljoprivrednicima i </w:t>
      </w:r>
      <w:r>
        <w:t>obrtnicima - povećanje ove stavke u 2025.godini odnosi se na isplate subvencija za poljoprivrednike - posjednike stoke povodom uskrsnih blagdana, a iznos je veći u odnosu na prethodnu godinu iz razloga većih iznosa za isplatu po odluci.</w:t>
      </w:r>
    </w:p>
    <w:p w14:paraId="77D98124" w14:textId="77777777" w:rsidR="00B07F88" w:rsidRDefault="00B07F88"/>
    <w:p w14:paraId="6E3C3B3C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lastRenderedPageBreak/>
        <w:t>Bilješka 42.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5D0F59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B9621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</w:t>
            </w:r>
            <w:r>
              <w:rPr>
                <w:b/>
                <w:sz w:val="18"/>
              </w:rPr>
              <w:t xml:space="preserve">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F3BDA1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BE9DB5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B508E4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22C806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608D08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15C6EE8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F01FA9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6FB59C2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Pomoći dane u inozemstvo i unutar općeg proračuna (šifre </w:t>
            </w:r>
            <w:r>
              <w:rPr>
                <w:sz w:val="18"/>
              </w:rPr>
              <w:t>361+362+363+365+366+367+368+369)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AF2643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5BE0C9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164.100,00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CB5004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193.672,79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C990DA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118,0</w:t>
            </w:r>
          </w:p>
        </w:tc>
      </w:tr>
    </w:tbl>
    <w:p w14:paraId="0BB8E00D" w14:textId="77777777" w:rsidR="00B07F88" w:rsidRDefault="00B07F88">
      <w:pPr>
        <w:spacing w:after="0"/>
      </w:pPr>
    </w:p>
    <w:p w14:paraId="4E77F8A3" w14:textId="77777777" w:rsidR="00B07F88" w:rsidRDefault="00C224A9">
      <w:pPr>
        <w:spacing w:line="240" w:lineRule="auto"/>
        <w:jc w:val="both"/>
      </w:pPr>
      <w:r>
        <w:t xml:space="preserve">Prijenosi proračunskim korisnicima iz nadležnog proračuna za financiranje rashoda poslovanja malo su veći nego prethodne godine, a odnose se na prijenose sredstava proračunskom </w:t>
      </w:r>
      <w:r>
        <w:t>korisniku za redovne troškove poslovanja.</w:t>
      </w:r>
    </w:p>
    <w:p w14:paraId="6B8A5B9B" w14:textId="77777777" w:rsidR="00B07F88" w:rsidRDefault="00B07F88"/>
    <w:p w14:paraId="35E933B5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43.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30BD61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717DE5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F79D8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63D828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683758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200962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14A2FC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55EFB9C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5B2802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1AD635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Prijenosi proračunskim korisnicima iz </w:t>
            </w:r>
            <w:r>
              <w:rPr>
                <w:sz w:val="18"/>
              </w:rPr>
              <w:t>nadležnog proračuna za financiranje redovne djelatnosti (šifre 3672 do 3674)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985DF0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5879E3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164.100,00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48B615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193.672,79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7E1B72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118,0</w:t>
            </w:r>
          </w:p>
        </w:tc>
      </w:tr>
    </w:tbl>
    <w:p w14:paraId="68B61D0B" w14:textId="77777777" w:rsidR="00B07F88" w:rsidRDefault="00B07F88">
      <w:pPr>
        <w:spacing w:after="0"/>
      </w:pPr>
    </w:p>
    <w:p w14:paraId="2D851978" w14:textId="77777777" w:rsidR="00B07F88" w:rsidRDefault="00C224A9">
      <w:pPr>
        <w:spacing w:line="240" w:lineRule="auto"/>
        <w:jc w:val="both"/>
      </w:pPr>
      <w:r>
        <w:t xml:space="preserve">Prijenosi proračunskim korisnicima iz nadležnog proračuna za financiranje rashoda poslovanja - ovi rashodi su nešto veći nego u istom </w:t>
      </w:r>
      <w:r>
        <w:t>razdoblju prethodne godine, a odnose se na prijenose sredstava proračunskom korisniku za redovne troškove poslovanja.</w:t>
      </w:r>
    </w:p>
    <w:p w14:paraId="662EEEB4" w14:textId="77777777" w:rsidR="00B07F88" w:rsidRDefault="00B07F88"/>
    <w:p w14:paraId="31884EA0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44.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25A006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3D24C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B96354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24505A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2B677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2BE5E3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</w:t>
            </w:r>
            <w:r>
              <w:rPr>
                <w:b/>
                <w:sz w:val="18"/>
              </w:rPr>
              <w:t xml:space="preserve">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1F2A2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5C19F99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311BEC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208EA7B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građanima i kućanstvima na temelju osiguranja i druge naknade (šifre 371+372)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181793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4D204B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69.102,83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7DCCF6F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58.083,13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0ECEA3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84,1</w:t>
            </w:r>
          </w:p>
        </w:tc>
      </w:tr>
    </w:tbl>
    <w:p w14:paraId="6B89D0ED" w14:textId="77777777" w:rsidR="00B07F88" w:rsidRDefault="00B07F88">
      <w:pPr>
        <w:spacing w:after="0"/>
      </w:pPr>
    </w:p>
    <w:p w14:paraId="21210C96" w14:textId="77777777" w:rsidR="00B07F88" w:rsidRDefault="00C224A9">
      <w:pPr>
        <w:spacing w:line="240" w:lineRule="auto"/>
        <w:jc w:val="both"/>
      </w:pPr>
      <w:r>
        <w:t xml:space="preserve">Ovi rashodi manji su nego prethodne godine (84,1%) izuzev stavke rashoda 3722 - naknade građanima i </w:t>
      </w:r>
      <w:r>
        <w:t>kućanstvima u naravi (a pojašnjenje je dano u nastavku na tom kontu).</w:t>
      </w:r>
    </w:p>
    <w:p w14:paraId="0BEC8CF8" w14:textId="77777777" w:rsidR="00B07F88" w:rsidRDefault="00B07F88"/>
    <w:p w14:paraId="0CE8BB99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45.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4FF2B1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718438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EA358E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1560EE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3443DC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1C07A5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5E0BAD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1B33F9C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88E5CA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AE431CE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Naknade </w:t>
            </w:r>
            <w:r>
              <w:rPr>
                <w:sz w:val="18"/>
              </w:rPr>
              <w:t>građanima i kućanstvima u naravi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5760E3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2CAF05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18.654,18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B432264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28.019,13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8B2C6B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150,2</w:t>
            </w:r>
          </w:p>
        </w:tc>
      </w:tr>
    </w:tbl>
    <w:p w14:paraId="34016F1A" w14:textId="77777777" w:rsidR="00B07F88" w:rsidRDefault="00B07F88">
      <w:pPr>
        <w:spacing w:after="0"/>
      </w:pPr>
    </w:p>
    <w:p w14:paraId="36101A4D" w14:textId="77777777" w:rsidR="00B07F88" w:rsidRDefault="00C224A9">
      <w:pPr>
        <w:spacing w:line="240" w:lineRule="auto"/>
        <w:jc w:val="both"/>
      </w:pPr>
      <w:r>
        <w:t xml:space="preserve">Naknade građanima i kućanstvima u naravi - ovi rashodi veći su nego prethodne godine (150,2%), a odnose se na objavljeni javni poziv mladim obiteljima za financijsku potporu prilikom </w:t>
      </w:r>
      <w:r>
        <w:t>kupnje ili adaptacije stambenog objekta, dok se u prethodnoj godini na isti javni poziv javio manji broj korisnika, pa je bio i manji iznos isplaćen.</w:t>
      </w:r>
    </w:p>
    <w:p w14:paraId="22CDDE5B" w14:textId="77777777" w:rsidR="00B07F88" w:rsidRDefault="00B07F88"/>
    <w:p w14:paraId="4ED80F7E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lastRenderedPageBreak/>
        <w:t>Bilješka 46.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5C9411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D724B9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A89FC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067593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D971E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F37B2A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</w:t>
            </w:r>
            <w:r>
              <w:rPr>
                <w:b/>
                <w:sz w:val="18"/>
              </w:rPr>
              <w:t>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C8E8B3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02EE343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6A092D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9EEE3A1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donacije, kazne, naknade šteta i kapitalne pomoći (šifre 381+382+383+386)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9F80FC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243A28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173.933,15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D7FEF9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147.243,06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5D8CC5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84,7</w:t>
            </w:r>
          </w:p>
        </w:tc>
      </w:tr>
    </w:tbl>
    <w:p w14:paraId="0755E2DF" w14:textId="77777777" w:rsidR="00B07F88" w:rsidRDefault="00B07F88">
      <w:pPr>
        <w:spacing w:after="0"/>
      </w:pPr>
    </w:p>
    <w:p w14:paraId="04ED4408" w14:textId="77777777" w:rsidR="00B07F88" w:rsidRDefault="00C224A9">
      <w:pPr>
        <w:spacing w:line="240" w:lineRule="auto"/>
        <w:jc w:val="both"/>
      </w:pPr>
      <w:r>
        <w:t xml:space="preserve">Na skupini </w:t>
      </w:r>
      <w:proofErr w:type="spellStart"/>
      <w:r>
        <w:t>raćuna</w:t>
      </w:r>
      <w:proofErr w:type="spellEnd"/>
      <w:r>
        <w:t xml:space="preserve"> 38 - rashodi za donacije - u prvoj polovici </w:t>
      </w:r>
      <w:r>
        <w:t xml:space="preserve">2025.godine isplaćena su manja sredstva prema udrugama građana, vatrogasnoj </w:t>
      </w:r>
      <w:proofErr w:type="spellStart"/>
      <w:r>
        <w:t>zajednici,dobrovoljnim</w:t>
      </w:r>
      <w:proofErr w:type="spellEnd"/>
      <w:r>
        <w:t xml:space="preserve"> vatrogasnim društvima, zajednici športskih udruga, crvenom križu, HGSS-u,  nego prethodne godine u isto vrijeme.</w:t>
      </w:r>
    </w:p>
    <w:p w14:paraId="1D57A829" w14:textId="77777777" w:rsidR="00B07F88" w:rsidRDefault="00B07F88"/>
    <w:p w14:paraId="46DAFF7E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47.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73DA1C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886C79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B646C8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</w:t>
            </w:r>
            <w:r>
              <w:rPr>
                <w:b/>
                <w:sz w:val="18"/>
              </w:rPr>
              <w:t>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C644EA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4EB22D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165B3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B611EA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5883133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72AA44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6FAA547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Kazne, penali i naknade štete (šifre 3831 do 3835)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A385F0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560675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4267CE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95379B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37842F7E" w14:textId="77777777" w:rsidR="00B07F88" w:rsidRDefault="00B07F88">
      <w:pPr>
        <w:spacing w:after="0"/>
      </w:pPr>
    </w:p>
    <w:p w14:paraId="651ED5CE" w14:textId="77777777" w:rsidR="00B07F88" w:rsidRDefault="00C224A9">
      <w:pPr>
        <w:spacing w:line="240" w:lineRule="auto"/>
        <w:jc w:val="both"/>
      </w:pPr>
      <w:r>
        <w:t xml:space="preserve">Šifra računa 383 - kazne, penali i </w:t>
      </w:r>
      <w:proofErr w:type="spellStart"/>
      <w:r>
        <w:t>nakande</w:t>
      </w:r>
      <w:proofErr w:type="spellEnd"/>
      <w:r>
        <w:t xml:space="preserve"> štete - u </w:t>
      </w:r>
      <w:r>
        <w:t>prethodnoj godini isplata je bila izvršena za štetu od tuče na stambenim objektima prema jednoj fizičkoj osobi prilikom olujnog nevremena, dok istog rashoda u prvoj polovici ove godine nije bilo.</w:t>
      </w:r>
    </w:p>
    <w:p w14:paraId="6AFD224A" w14:textId="77777777" w:rsidR="00B07F88" w:rsidRDefault="00B07F88"/>
    <w:p w14:paraId="0C1964A7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48.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6E63B0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370035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0FCB2A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F20942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5A249C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</w:t>
            </w:r>
            <w:r>
              <w:rPr>
                <w:b/>
                <w:sz w:val="18"/>
              </w:rPr>
              <w:t>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3B436C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965C6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18C0E37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86BE27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9399A0A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od prodaje </w:t>
            </w:r>
            <w:proofErr w:type="spellStart"/>
            <w:r>
              <w:rPr>
                <w:sz w:val="18"/>
              </w:rPr>
              <w:t>neproizvedene</w:t>
            </w:r>
            <w:proofErr w:type="spellEnd"/>
            <w:r>
              <w:rPr>
                <w:sz w:val="18"/>
              </w:rPr>
              <w:t xml:space="preserve"> dugotrajne imovine (šifre 711+712)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D72A22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7817AE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314EAE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2.532,10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A450E9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405,1</w:t>
            </w:r>
          </w:p>
        </w:tc>
      </w:tr>
    </w:tbl>
    <w:p w14:paraId="3AE350EE" w14:textId="77777777" w:rsidR="00B07F88" w:rsidRDefault="00B07F88">
      <w:pPr>
        <w:spacing w:after="0"/>
      </w:pPr>
    </w:p>
    <w:p w14:paraId="3DA4883D" w14:textId="77777777" w:rsidR="00B07F88" w:rsidRDefault="00C224A9">
      <w:pPr>
        <w:spacing w:line="240" w:lineRule="auto"/>
        <w:jc w:val="both"/>
      </w:pPr>
      <w:r>
        <w:t xml:space="preserve">Na ovoj stavci prihoda od prodaje </w:t>
      </w:r>
      <w:proofErr w:type="spellStart"/>
      <w:r>
        <w:t>neproizvedene</w:t>
      </w:r>
      <w:proofErr w:type="spellEnd"/>
      <w:r>
        <w:t xml:space="preserve"> dugotrajne imovine veće je odstupanje u odnosu na 2024.godinu, a odnosi se na prodaju poljoprivrednog zemljišta u vlasništvu RH izravnom pogodbom jednoj fizičkoj osobi, kao i prodaju građevinskih zemljišta u vlasništvu općine prema dvjema fiz</w:t>
      </w:r>
      <w:r>
        <w:t>ičkim osobama. U prethodnoj godini bila je izvršena samo jedna prodaja i to građevinskog zemljišta.</w:t>
      </w:r>
    </w:p>
    <w:p w14:paraId="6C0B5477" w14:textId="77777777" w:rsidR="00B07F88" w:rsidRDefault="00B07F88"/>
    <w:p w14:paraId="09B43DF0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49.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305BDD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B8D875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54EA2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A7B85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583AE5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D85A19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057B6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</w:t>
            </w:r>
            <w:r>
              <w:rPr>
                <w:b/>
                <w:sz w:val="18"/>
              </w:rPr>
              <w:t>eks (%)</w:t>
            </w:r>
          </w:p>
        </w:tc>
      </w:tr>
      <w:tr w:rsidR="00B07F88" w14:paraId="308A23E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5BFB2C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6BF992F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Građevinski objekti (šifre 4211 do 4214)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645D84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6468B1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214.529,03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11430B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1.050.402,19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45B052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489,6</w:t>
            </w:r>
          </w:p>
        </w:tc>
      </w:tr>
    </w:tbl>
    <w:p w14:paraId="3E8F9D19" w14:textId="77777777" w:rsidR="00B07F88" w:rsidRDefault="00B07F88">
      <w:pPr>
        <w:spacing w:after="0"/>
      </w:pPr>
    </w:p>
    <w:p w14:paraId="268A958F" w14:textId="77777777" w:rsidR="00B07F88" w:rsidRDefault="00C224A9">
      <w:pPr>
        <w:spacing w:line="240" w:lineRule="auto"/>
        <w:jc w:val="both"/>
      </w:pPr>
      <w:r>
        <w:lastRenderedPageBreak/>
        <w:t xml:space="preserve">Šifra računa 421 - građevinski objekti - ovi rashodi su veći u odnosu na rashode za isto razdoblje prethodne godine, a odnose na  poslovne objekte, ceste i </w:t>
      </w:r>
      <w:r>
        <w:t>ostale građevinske objekte (pojašnjenje se nalazi  pojedinačno uz svaki konto).</w:t>
      </w:r>
    </w:p>
    <w:p w14:paraId="2D9861BF" w14:textId="77777777" w:rsidR="00B07F88" w:rsidRDefault="00B07F88"/>
    <w:p w14:paraId="49EAAB36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50.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28B90A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B713C1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7DA47C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1C0CEE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28BEE1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2FB553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4C0718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459350A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DB31FD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D199805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Poslovni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E9BAE1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B31305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65.340,79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ED7306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743.022,93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62563E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1137,2</w:t>
            </w:r>
          </w:p>
        </w:tc>
      </w:tr>
    </w:tbl>
    <w:p w14:paraId="3F8AF9FA" w14:textId="77777777" w:rsidR="00B07F88" w:rsidRDefault="00B07F88">
      <w:pPr>
        <w:spacing w:after="0"/>
      </w:pPr>
    </w:p>
    <w:p w14:paraId="51A4D2B2" w14:textId="77777777" w:rsidR="00B07F88" w:rsidRDefault="00C224A9">
      <w:pPr>
        <w:spacing w:line="240" w:lineRule="auto"/>
        <w:jc w:val="both"/>
      </w:pPr>
      <w:r>
        <w:t xml:space="preserve">Na računu 4212 - poslovni objekti - veliko je odstupanje (1137,2%) u odnosu na isto razdoblje prethodne godine, a odnosi se na izvedene radove na gradnji građevine doma za dnevni boravak starijih </w:t>
      </w:r>
      <w:r>
        <w:t xml:space="preserve">osoba sa smještajnim jedinicama, dogradnju dječjeg vrtića u Svetom Đurđu, te radove na rekonstrukciji i opremanju igrališta za mali nogomet i košarku u jednom mjesnom odboru. U 2024.godini izdataka se odnosi samo na dio ovih građevinskih radova na domu za </w:t>
      </w:r>
      <w:r>
        <w:t>dnevni boravak i na dogradnji dječjeg vrtića.</w:t>
      </w:r>
    </w:p>
    <w:p w14:paraId="3B33DF90" w14:textId="77777777" w:rsidR="00B07F88" w:rsidRDefault="00B07F88"/>
    <w:p w14:paraId="50147C8A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51.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0C9D94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FAA32F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530EDF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6E882E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6B40A1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9B13F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59BC68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748EBC4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62976D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557FC5A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Ceste, željeznice i ostali </w:t>
            </w:r>
            <w:r>
              <w:rPr>
                <w:sz w:val="18"/>
              </w:rPr>
              <w:t>prometni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78D4AC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83AB5E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129.831,74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5209AB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285.942,02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49BAC4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220,2</w:t>
            </w:r>
          </w:p>
        </w:tc>
      </w:tr>
    </w:tbl>
    <w:p w14:paraId="22D9F026" w14:textId="77777777" w:rsidR="00B07F88" w:rsidRDefault="00B07F88">
      <w:pPr>
        <w:spacing w:after="0"/>
      </w:pPr>
    </w:p>
    <w:p w14:paraId="1DDE9B21" w14:textId="77777777" w:rsidR="00B07F88" w:rsidRDefault="00C224A9">
      <w:pPr>
        <w:spacing w:line="240" w:lineRule="auto"/>
        <w:jc w:val="both"/>
      </w:pPr>
      <w:r>
        <w:t xml:space="preserve">Na ovom računu je također odstupanje (220,25) u odnosu na prethodnu godinu, a odnosi se na završetak radova na građenju prometnice UK4 i UK6 sa parkiralištem u Svetom Đurđu, zatim asfaltiranje ceste </w:t>
      </w:r>
      <w:r>
        <w:t>ispred jednog dobrovoljnog vatrogasnog društva, te uređenje cestovne odvodnje na županijskoj cesti u jednom mjesnom odboru. U 2024.godini rashodi su bili izvedeni u manjem dijelu i to samo na asfaltiranju prometnice UK4 i UK6.</w:t>
      </w:r>
    </w:p>
    <w:p w14:paraId="7FF1F2BD" w14:textId="77777777" w:rsidR="00B07F88" w:rsidRDefault="00B07F88"/>
    <w:p w14:paraId="7FFA2DE0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52.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04FB48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BED5E6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</w:t>
            </w:r>
            <w:r>
              <w:rPr>
                <w:b/>
                <w:sz w:val="18"/>
              </w:rPr>
              <w:t>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20A535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6EB52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27626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F77BE4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588536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45E2805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2B68ED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765183A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građevinski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5F3187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FBD453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19.356,50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0D242E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21.437,24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31E31B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110,7</w:t>
            </w:r>
          </w:p>
        </w:tc>
      </w:tr>
    </w:tbl>
    <w:p w14:paraId="1D61606B" w14:textId="77777777" w:rsidR="00B07F88" w:rsidRDefault="00B07F88">
      <w:pPr>
        <w:spacing w:after="0"/>
      </w:pPr>
    </w:p>
    <w:p w14:paraId="3BBCBD2A" w14:textId="77777777" w:rsidR="00B07F88" w:rsidRDefault="00C224A9">
      <w:pPr>
        <w:spacing w:line="240" w:lineRule="auto"/>
        <w:jc w:val="both"/>
      </w:pPr>
      <w:r>
        <w:t xml:space="preserve">Na ovom računu rashodi se odnose na okončanu </w:t>
      </w:r>
      <w:r>
        <w:t>situaciju građevinskih radova na rekonstrukciji zgrade društvenog doma u jednom mjesnom odboru u prvoj polovici 2025.godine.</w:t>
      </w:r>
    </w:p>
    <w:p w14:paraId="52B1DB5C" w14:textId="77777777" w:rsidR="00B07F88" w:rsidRDefault="00B07F88"/>
    <w:p w14:paraId="0C392FDE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lastRenderedPageBreak/>
        <w:t>Bilješka 53.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7BB41C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EE0A2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083DF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3E886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046096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FA5406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765BFE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5E1DB04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A702F6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D297866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Postrojenja i oprema (šifre 4221 do 4228)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FCC382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E54623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25.892,34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C0ACEA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5.470,13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B6851D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21,1</w:t>
            </w:r>
          </w:p>
        </w:tc>
      </w:tr>
    </w:tbl>
    <w:p w14:paraId="33FF9E3B" w14:textId="77777777" w:rsidR="00B07F88" w:rsidRDefault="00B07F88">
      <w:pPr>
        <w:spacing w:after="0"/>
      </w:pPr>
    </w:p>
    <w:p w14:paraId="7066177F" w14:textId="77777777" w:rsidR="00B07F88" w:rsidRDefault="00C224A9">
      <w:pPr>
        <w:spacing w:line="240" w:lineRule="auto"/>
        <w:jc w:val="both"/>
      </w:pPr>
      <w:r>
        <w:t xml:space="preserve">Na računu 422 - postrojenja i oprema - znatno su ostvareni manji rashodi (21,1%) u odnosu na isto razdoblje prethodne </w:t>
      </w:r>
      <w:r>
        <w:t>godine, jer je bilo više nabavke opreme i namještaja u 2024.godini nego u prvoj polovici 2025.godine.</w:t>
      </w:r>
    </w:p>
    <w:p w14:paraId="17A049B7" w14:textId="77777777" w:rsidR="00B07F88" w:rsidRDefault="00B07F88"/>
    <w:p w14:paraId="7B38BE94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54.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6EEE54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F43072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F368D9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0A01B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F145E9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13F9D4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63E90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ndeks (%)</w:t>
            </w:r>
          </w:p>
        </w:tc>
      </w:tr>
      <w:tr w:rsidR="00B07F88" w14:paraId="59B3D7B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21395D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DA282F8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Nematerijalna proizvedena imovina (šifre 4261 do 4264)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874A4C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3A1628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5.100,00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70E07D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60DAB9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6366EED4" w14:textId="77777777" w:rsidR="00B07F88" w:rsidRDefault="00B07F88">
      <w:pPr>
        <w:spacing w:after="0"/>
      </w:pPr>
    </w:p>
    <w:p w14:paraId="7EE51E11" w14:textId="77777777" w:rsidR="00B07F88" w:rsidRDefault="00C224A9">
      <w:pPr>
        <w:spacing w:line="240" w:lineRule="auto"/>
        <w:jc w:val="both"/>
      </w:pPr>
      <w:r>
        <w:t xml:space="preserve">Rashod na ovom računu u 2024.godini odnosi se na V. izmjene i dopune prostornog plana općine po fazama izrade u iznosu od 5.100,00 eura, dok istog rashoda u </w:t>
      </w:r>
      <w:r>
        <w:t>prvoj polovici ove godine nije bilo.</w:t>
      </w:r>
    </w:p>
    <w:p w14:paraId="36BF7753" w14:textId="77777777" w:rsidR="00B07F88" w:rsidRDefault="00B07F88"/>
    <w:p w14:paraId="6A517C73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55.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7AAF77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2024B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2C56C5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098D73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842C0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98D0D1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8FD37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1D3CA60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75635D" w14:textId="77777777" w:rsidR="00B07F88" w:rsidRDefault="00B07F8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A71C653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MANJAK PRIHODA I PRIMITAKA (šifre </w:t>
            </w:r>
            <w:r>
              <w:rPr>
                <w:sz w:val="18"/>
              </w:rPr>
              <w:t>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D201F8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A25A31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172.160,47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6ACE23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606.690,99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72E15E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352,4</w:t>
            </w:r>
          </w:p>
        </w:tc>
      </w:tr>
    </w:tbl>
    <w:p w14:paraId="3AB9E39C" w14:textId="77777777" w:rsidR="00B07F88" w:rsidRDefault="00B07F88">
      <w:pPr>
        <w:spacing w:after="0"/>
      </w:pPr>
    </w:p>
    <w:p w14:paraId="085DB0B1" w14:textId="77777777" w:rsidR="00B07F88" w:rsidRDefault="00C224A9">
      <w:pPr>
        <w:spacing w:line="240" w:lineRule="auto"/>
        <w:jc w:val="both"/>
      </w:pPr>
      <w:r>
        <w:t xml:space="preserve">Manjak prihoda i primitaka  na kraju izvještajnog razdoblja u iznosu od 606.690,99 eura je što su ostvareni veći rashodi od prihoda, ali zbog prenesenog viška prihoda u iznosu od 743.279,25 eura, </w:t>
      </w:r>
      <w:r>
        <w:t>rezultat poslovanja na kraju obračunskog razdoblja je u plusu.</w:t>
      </w:r>
    </w:p>
    <w:p w14:paraId="0D5021B0" w14:textId="77777777" w:rsidR="00B07F88" w:rsidRDefault="00B07F88"/>
    <w:p w14:paraId="562916EE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56.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4BD1E2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6198EF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34AE9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1A9F5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5E97D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F3F81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821E5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04CC669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F17A69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9221-9222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3F1E224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Višak </w:t>
            </w:r>
            <w:r>
              <w:rPr>
                <w:sz w:val="18"/>
              </w:rPr>
              <w:t>prihoda i primitaka - preneseni (šifre '9221x,9222x VP' - '9221x,9222x MP' + 92213 - 92223)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7D4A4F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9221-9222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987A43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1.041.307,01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9733B5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743.279,25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A778A8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71,4</w:t>
            </w:r>
          </w:p>
        </w:tc>
      </w:tr>
    </w:tbl>
    <w:p w14:paraId="3088E3CF" w14:textId="77777777" w:rsidR="00B07F88" w:rsidRDefault="00B07F88">
      <w:pPr>
        <w:spacing w:after="0"/>
      </w:pPr>
    </w:p>
    <w:p w14:paraId="0E984914" w14:textId="77777777" w:rsidR="00B07F88" w:rsidRDefault="00C224A9">
      <w:pPr>
        <w:spacing w:line="240" w:lineRule="auto"/>
        <w:jc w:val="both"/>
      </w:pPr>
      <w:r>
        <w:t>Višak prihoda i primitaka preneseni iz prethodne godine je veći u odnosu na 2024.godinu.</w:t>
      </w:r>
    </w:p>
    <w:p w14:paraId="033845AF" w14:textId="77777777" w:rsidR="00B07F88" w:rsidRDefault="00B07F88"/>
    <w:p w14:paraId="20D5EDA5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lastRenderedPageBreak/>
        <w:t>Bilješka 57.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07F88" w14:paraId="4C9D55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0A86B8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DF1F08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B635BE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38B0F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E8A4C7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064BF9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6E89EE1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E95C4B" w14:textId="77777777" w:rsidR="00B07F88" w:rsidRDefault="00B07F8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868C4C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prihoda i primitaka raspoloživ u sljedećem razdoblju (šifre X005 + '9221-9222' - Y005 - '9222-9221')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C144C2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X006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7797C7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869.146,54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0663D7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136.588,26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3111EF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15,7</w:t>
            </w:r>
          </w:p>
        </w:tc>
      </w:tr>
    </w:tbl>
    <w:p w14:paraId="3C7EDFC3" w14:textId="77777777" w:rsidR="00B07F88" w:rsidRDefault="00B07F88">
      <w:pPr>
        <w:spacing w:after="0"/>
      </w:pPr>
    </w:p>
    <w:p w14:paraId="6A5B10BB" w14:textId="77777777" w:rsidR="00B07F88" w:rsidRDefault="00C224A9">
      <w:pPr>
        <w:spacing w:line="240" w:lineRule="auto"/>
        <w:jc w:val="both"/>
      </w:pPr>
      <w:r>
        <w:t>Ukupni rezultat poslovanja na kraju obračunskog razdoblja je višak prihoda i primitaka u iznosu od 136.588,26 eura.</w:t>
      </w:r>
    </w:p>
    <w:p w14:paraId="429DCE6B" w14:textId="77777777" w:rsidR="00B07F88" w:rsidRDefault="00B07F88"/>
    <w:p w14:paraId="3B04BBB5" w14:textId="77777777" w:rsidR="00B07F88" w:rsidRDefault="00C224A9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3FA1EA9E" w14:textId="77777777" w:rsidR="00B07F88" w:rsidRDefault="00C224A9">
      <w:pPr>
        <w:keepNext/>
        <w:spacing w:line="240" w:lineRule="auto"/>
        <w:jc w:val="center"/>
      </w:pPr>
      <w:r>
        <w:rPr>
          <w:sz w:val="28"/>
        </w:rPr>
        <w:t>Bilješka 58.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B07F88" w14:paraId="500CED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B27D66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818F43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61FC0B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0F11D5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2BD810" w14:textId="77777777" w:rsidR="00B07F88" w:rsidRDefault="00C224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07F88" w14:paraId="4E9842A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F2B714" w14:textId="77777777" w:rsidR="00B07F88" w:rsidRDefault="00B07F8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C663FCC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Stanje </w:t>
            </w:r>
            <w:r>
              <w:rPr>
                <w:sz w:val="18"/>
              </w:rPr>
              <w:t>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AA6488" w14:textId="77777777" w:rsidR="00B07F88" w:rsidRDefault="00C224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8DF6CC8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232.401,54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5CF10C" w14:textId="77777777" w:rsidR="00B07F88" w:rsidRDefault="00C224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24122A2" w14:textId="77777777" w:rsidR="00B07F88" w:rsidRDefault="00B07F88">
      <w:pPr>
        <w:spacing w:after="0"/>
      </w:pPr>
    </w:p>
    <w:p w14:paraId="57DA7C43" w14:textId="77777777" w:rsidR="00B07F88" w:rsidRDefault="00C224A9">
      <w:pPr>
        <w:spacing w:line="240" w:lineRule="auto"/>
        <w:jc w:val="both"/>
      </w:pPr>
      <w:r>
        <w:t xml:space="preserve">Dospjele obveze na dan 30.06.2025.godine odnose se na obveze za materijalne rashode u iznosu od 44.640,72 eura, obveze za subvencije u </w:t>
      </w:r>
      <w:r>
        <w:t>iznosu od 239,90 eura, obveze za naknade građanima i kućanstvima u iznosu od 217,91 eura, obveze za donacije u iznosu od 5.009,42 eura, te obveze za nabavu nefinancijske imovine u iznosu od 182.293,59. Prekoračenje rokova plaćanja ovih obveza je od 1 do 20</w:t>
      </w:r>
      <w:r>
        <w:t xml:space="preserve"> dana, a sve su neplaćeni računi koji su bili podmireni u prvim danima mjeseca srpnja 2025.godine.</w:t>
      </w:r>
    </w:p>
    <w:p w14:paraId="73DE0741" w14:textId="77777777" w:rsidR="00B07F88" w:rsidRDefault="00B07F88"/>
    <w:sectPr w:rsidR="00B0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88"/>
    <w:rsid w:val="00B07F88"/>
    <w:rsid w:val="00C2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7D76"/>
  <w15:docId w15:val="{48BD177B-2725-4A47-9E38-914061F9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4600</Words>
  <Characters>26222</Characters>
  <Application>Microsoft Office Word</Application>
  <DocSecurity>0</DocSecurity>
  <Lines>218</Lines>
  <Paragraphs>61</Paragraphs>
  <ScaleCrop>false</ScaleCrop>
  <Company/>
  <LinksUpToDate>false</LinksUpToDate>
  <CharactersWithSpaces>30761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Win11</dc:creator>
  <cp:lastModifiedBy>Win11</cp:lastModifiedBy>
  <cp:revision>2</cp:revision>
  <dcterms:created xsi:type="dcterms:W3CDTF">2025-07-10T10:15:00Z</dcterms:created>
  <dcterms:modified xsi:type="dcterms:W3CDTF">2025-07-10T10:15:00Z</dcterms:modified>
</cp:coreProperties>
</file>