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D4851" w14:paraId="774AC57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CF247D" w14:textId="77777777" w:rsidR="00FD4851" w:rsidRDefault="001D4BCF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6B77685" w14:textId="77777777" w:rsidR="00FD4851" w:rsidRDefault="001D4BCF">
            <w:pPr>
              <w:spacing w:after="0" w:line="240" w:lineRule="auto"/>
            </w:pPr>
            <w:r>
              <w:t>31430</w:t>
            </w:r>
          </w:p>
        </w:tc>
      </w:tr>
      <w:tr w:rsidR="00FD4851" w14:paraId="204DF8E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A86A839" w14:textId="77777777" w:rsidR="00FD4851" w:rsidRDefault="001D4BCF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AF05085" w14:textId="77777777" w:rsidR="00FD4851" w:rsidRDefault="001D4BCF">
            <w:pPr>
              <w:spacing w:after="0" w:line="240" w:lineRule="auto"/>
            </w:pPr>
            <w:r>
              <w:t>OPĆINA SVETI ĐURĐ</w:t>
            </w:r>
          </w:p>
        </w:tc>
      </w:tr>
      <w:tr w:rsidR="00FD4851" w14:paraId="72CE9CF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A526FAF" w14:textId="77777777" w:rsidR="00FD4851" w:rsidRDefault="001D4BCF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7938E7F" w14:textId="77777777" w:rsidR="00FD4851" w:rsidRDefault="001D4BCF">
            <w:pPr>
              <w:spacing w:after="0" w:line="240" w:lineRule="auto"/>
            </w:pPr>
            <w:r>
              <w:t>22</w:t>
            </w:r>
          </w:p>
        </w:tc>
      </w:tr>
    </w:tbl>
    <w:p w14:paraId="7B6983AD" w14:textId="77777777" w:rsidR="00FD4851" w:rsidRDefault="001D4BCF">
      <w:r>
        <w:br/>
      </w:r>
    </w:p>
    <w:p w14:paraId="19ED8819" w14:textId="77777777" w:rsidR="00FD4851" w:rsidRDefault="001D4BCF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88AF17C" w14:textId="77777777" w:rsidR="00FD4851" w:rsidRDefault="001D4BCF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155F0A0D" w14:textId="77777777" w:rsidR="00FD4851" w:rsidRDefault="001D4BCF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7A114CB1" w14:textId="77777777" w:rsidR="00FD4851" w:rsidRDefault="00FD4851"/>
    <w:p w14:paraId="04B81672" w14:textId="77777777" w:rsidR="00FD4851" w:rsidRDefault="001D4BCF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541B582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248123F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D088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C134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B8F0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A3D3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9BE3C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7E90A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C5DE9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4CF8B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EE83B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3FA0E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0D8CB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1.488.081,37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DB786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2.051.066,79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A61AC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137,8</w:t>
            </w:r>
          </w:p>
        </w:tc>
      </w:tr>
      <w:tr w:rsidR="00FD4851" w14:paraId="3ABA40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96B5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2748C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1F331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F8A3F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1.222.705,23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64E89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1.313.775,46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EFAC8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107,4</w:t>
            </w:r>
          </w:p>
        </w:tc>
      </w:tr>
      <w:tr w:rsidR="00FD4851" w14:paraId="35D2BD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8AA8B" w14:textId="77777777" w:rsidR="00FD4851" w:rsidRDefault="00FD48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C353A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C767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08D25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265.376,14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7A7F9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737.291,33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7CB25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277,8</w:t>
            </w:r>
          </w:p>
        </w:tc>
      </w:tr>
      <w:tr w:rsidR="00FD4851" w14:paraId="7CCF55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BE8D0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36533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22311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1A18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6.350,91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ED35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FABD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39,9</w:t>
            </w:r>
          </w:p>
        </w:tc>
      </w:tr>
      <w:tr w:rsidR="00FD4851" w14:paraId="2B86F9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14E02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E705E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AB72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B02DA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411.058,75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4302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1.292.038,31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7B21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314,3</w:t>
            </w:r>
          </w:p>
        </w:tc>
      </w:tr>
      <w:tr w:rsidR="00FD4851" w14:paraId="2534C0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22C1CA" w14:textId="77777777" w:rsidR="00FD4851" w:rsidRDefault="00FD48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7166B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DFF3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B4327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404.707,84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0475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1.289.506,21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D74C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318,6</w:t>
            </w:r>
          </w:p>
        </w:tc>
      </w:tr>
      <w:tr w:rsidR="00FD4851" w14:paraId="47FE288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02E91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9777B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D7CDC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EAE5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28E3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72C5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D4851" w14:paraId="11323D6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65B21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6DD72C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4A37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5F654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BCD08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870F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D4851" w14:paraId="4C4114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A3617" w14:textId="77777777" w:rsidR="00FD4851" w:rsidRDefault="00FD48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A9E77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22D67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B741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F0974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8563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D4851" w14:paraId="3F3B32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C28191" w14:textId="77777777" w:rsidR="00FD4851" w:rsidRDefault="00FD48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F1804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2ED2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09E0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139.331,70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1C2B1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552.214,88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D1CE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396,3</w:t>
            </w:r>
          </w:p>
        </w:tc>
      </w:tr>
    </w:tbl>
    <w:p w14:paraId="5D1B6422" w14:textId="77777777" w:rsidR="00FD4851" w:rsidRDefault="00FD4851">
      <w:pPr>
        <w:spacing w:after="0"/>
      </w:pPr>
    </w:p>
    <w:p w14:paraId="7EDD655B" w14:textId="77777777" w:rsidR="00FD4851" w:rsidRDefault="001D4BCF">
      <w:pPr>
        <w:spacing w:line="240" w:lineRule="auto"/>
        <w:jc w:val="both"/>
      </w:pPr>
      <w:r>
        <w:t xml:space="preserve">U razdoblju od 1.siječnja do 30. rujna 2025.godine prihodi poslovanja ostvareni su u iznosu od 2.051.066,79 eura. Najznačajnije povećanje prihoda poslovanja ostvareno je od  kapitalnih pomoći od institucija i tijela EU za </w:t>
      </w:r>
      <w:r>
        <w:t>dva projekta dogradnju dječjeg vrtića i rekonstrukciju malonogometnog igrališta i košarku. Najznačajnije smanjenje  prihoda poslovanja bilježi se na prihodima od šumskog doprinosa zbog smanjene sječe na području općine.  Rashodi poslovanja u razdoblju od 1</w:t>
      </w:r>
      <w:r>
        <w:t xml:space="preserve">. siječnja do 30.rujna 2025.godine ostvareni su u iznosu od 1.313.775,46 eura. Najznačajnije povećanje rashoda evidentirano je na ostali nespomenutim </w:t>
      </w:r>
      <w:r>
        <w:lastRenderedPageBreak/>
        <w:t>financijskim rashodima zbog troškova za provedbu lokalnih izbora, kao i povećanje stavke sufinanciranje bo</w:t>
      </w:r>
      <w:r>
        <w:t>ravka djece u dječjem vrtiću izvan naše općine. Najznačajnije smanjenje rashoda poslovanja bilježi se na rashodima za službena putovanja, te na materijalu i sirovinama zbog manje potrebe za istim. U navedenom razdoblju prihodi od prodaje nefinancijske imov</w:t>
      </w:r>
      <w:r>
        <w:t>ine ostvareni su u iznosu od 2.532,10 eura a odnose se na prodaju poljoprivrednog i građevinskog zemljišta u vlasništvu općine fizičkim osobama. Rashodi za nabavu nefinancijske imovine ostvareni su u iznosu od 1.292.038,31 eura. Navedeni rashodi u najvećem</w:t>
      </w:r>
      <w:r>
        <w:t xml:space="preserve"> dijelu odnose se na radove na izgradnji doma za dnevni boravak starijih osoba sa smještajnim jedinicama na području općine. U navedenom razdoblju nije bilo ostvarenih primitaka i izdataka od financijske imovine i zaduživanja. U razdoblju od 1. siječnja do</w:t>
      </w:r>
      <w:r>
        <w:t xml:space="preserve"> 30.rujna 2025.godine ostvaren je višak prihoda poslovanja u iznosu od 737.291,33 eura, manjak prihoda od nefinancijske imovine u iznosu od 1.289.506,21 eura, slijedom čega je na kraju izvještajnog razdoblja ostvaren ukupan manjak prihoda i primitaka u izn</w:t>
      </w:r>
      <w:r>
        <w:t>osu od 552.214,88 eura.</w:t>
      </w:r>
    </w:p>
    <w:p w14:paraId="0E8661AD" w14:textId="77777777" w:rsidR="00FD4851" w:rsidRDefault="001D4BCF">
      <w:r>
        <w:br/>
      </w:r>
    </w:p>
    <w:p w14:paraId="545DE903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6F0311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0F6A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320F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D545D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E5A20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5944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52D9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FC80F0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4D9D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B6E8D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poreza (šifre </w:t>
            </w:r>
            <w:r>
              <w:rPr>
                <w:sz w:val="18"/>
              </w:rPr>
              <w:t>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0FA67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1468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635.527,32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AC283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822.641,25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90EC5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14:paraId="58F4C985" w14:textId="77777777" w:rsidR="00FD4851" w:rsidRDefault="00FD4851">
      <w:pPr>
        <w:spacing w:after="0"/>
      </w:pPr>
    </w:p>
    <w:p w14:paraId="41E3CE94" w14:textId="77777777" w:rsidR="00FD4851" w:rsidRDefault="001D4BCF">
      <w:pPr>
        <w:spacing w:line="240" w:lineRule="auto"/>
        <w:jc w:val="both"/>
      </w:pPr>
      <w:r>
        <w:t xml:space="preserve">Prihodi od poreza u prvih devet mjeseci 2025.godine ostvareni su nešto veći nego u istom razdoblju prethodne godine. Sve kategorije poreza bilježe povećanje u promatranom razdoblju izuzev </w:t>
      </w:r>
      <w:r>
        <w:t xml:space="preserve">poreza na dohodak od samostalnih djelatnosti. Što se tiče stavke povrata poreza na dohodak po godišnjoj prijavi također je nešto veći nego u prethodnoj godini iz razloga jer na području općine u ovoj godini više je građana podnijelo zahtjev za </w:t>
      </w:r>
      <w:proofErr w:type="spellStart"/>
      <w:r>
        <w:t>povrta</w:t>
      </w:r>
      <w:proofErr w:type="spellEnd"/>
      <w:r>
        <w:t>, odno</w:t>
      </w:r>
      <w:r>
        <w:t>sno imali su pravo na povrat poreza.</w:t>
      </w:r>
    </w:p>
    <w:p w14:paraId="5B78E6BF" w14:textId="77777777" w:rsidR="00FD4851" w:rsidRDefault="00FD4851"/>
    <w:p w14:paraId="48390534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5C316E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9713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9E05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13A4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4D41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92F3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598B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C9A73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5F035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10BB2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Stalni porezi na nepokretnu imovinu </w:t>
            </w:r>
            <w:r>
              <w:rPr>
                <w:sz w:val="18"/>
              </w:rPr>
              <w:t>(zemlju, zgrade, kuće i ostalo)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8EC8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C71909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18633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446,35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3BD1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140,2</w:t>
            </w:r>
          </w:p>
        </w:tc>
      </w:tr>
    </w:tbl>
    <w:p w14:paraId="1C433750" w14:textId="77777777" w:rsidR="00FD4851" w:rsidRDefault="00FD4851">
      <w:pPr>
        <w:spacing w:after="0"/>
      </w:pPr>
    </w:p>
    <w:p w14:paraId="59ADB73A" w14:textId="77777777" w:rsidR="00FD4851" w:rsidRDefault="001D4BCF">
      <w:pPr>
        <w:spacing w:line="240" w:lineRule="auto"/>
        <w:jc w:val="both"/>
      </w:pPr>
      <w:r>
        <w:t xml:space="preserve">Na računu 61315 - porez na korištenje javnih površina (placovine) ostvareno je nešto više prihoda nego prethodne godine, jer je bilo više podnesenih zahtjeva od strane pravnih osoba (obrta) po </w:t>
      </w:r>
      <w:r>
        <w:t>pojedinim mjesnim odborima prilikom održavanja proštenja ili prigodnih događaja.</w:t>
      </w:r>
    </w:p>
    <w:p w14:paraId="785B0AA0" w14:textId="77777777" w:rsidR="00FD4851" w:rsidRDefault="00FD4851"/>
    <w:p w14:paraId="57B3A52B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2B3861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4450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67FDC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04B0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C510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D0D1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FC619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7ABD059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FC8E5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ECAF9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8F87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01BBE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18.185,59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93A89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11.736,30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6E6B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64,5</w:t>
            </w:r>
          </w:p>
        </w:tc>
      </w:tr>
    </w:tbl>
    <w:p w14:paraId="408C6445" w14:textId="77777777" w:rsidR="00FD4851" w:rsidRDefault="00FD4851">
      <w:pPr>
        <w:spacing w:after="0"/>
      </w:pPr>
    </w:p>
    <w:p w14:paraId="64EF92FD" w14:textId="77777777" w:rsidR="00FD4851" w:rsidRDefault="001D4BCF">
      <w:pPr>
        <w:spacing w:line="240" w:lineRule="auto"/>
        <w:jc w:val="both"/>
      </w:pPr>
      <w:r>
        <w:t>Ovi prihodi su manji nego u 2024.godini, a odnose se na porez na promet nekretninama iz razloga manje kupnje nekretnina u ovom razdoblju od strane fizičkih ili pravnih osoba.</w:t>
      </w:r>
    </w:p>
    <w:p w14:paraId="55E6F1A4" w14:textId="77777777" w:rsidR="00FD4851" w:rsidRDefault="00FD4851"/>
    <w:p w14:paraId="17D0F27A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0F5E23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2FA4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77517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D823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89FF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CA9F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B1DC5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4BA785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7E632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AE788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korištenje dobara ili izvođenje aktivnosti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2B71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461A4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6A456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F5115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74B8AD13" w14:textId="77777777" w:rsidR="00FD4851" w:rsidRDefault="00FD4851">
      <w:pPr>
        <w:spacing w:after="0"/>
      </w:pPr>
    </w:p>
    <w:p w14:paraId="6BD4B998" w14:textId="77777777" w:rsidR="00FD4851" w:rsidRDefault="001D4BCF">
      <w:pPr>
        <w:spacing w:line="240" w:lineRule="auto"/>
        <w:jc w:val="both"/>
      </w:pPr>
      <w:r>
        <w:t xml:space="preserve">Prihod ostvaren u </w:t>
      </w:r>
      <w:r>
        <w:t>prethodnoj godini odnosi se na uplatu poreza na tvrtku od strane jedne pravne osobe koja je po rješenju Porezne uprave podmirila dugovanje, dok u 2025.godini istog prihoda nije bilo.</w:t>
      </w:r>
    </w:p>
    <w:p w14:paraId="5AE0FA9F" w14:textId="77777777" w:rsidR="00FD4851" w:rsidRDefault="00FD4851"/>
    <w:p w14:paraId="03FB9017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42708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D36C2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E96EB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49F63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7869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3ADF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6C06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2DD380D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CC439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96BD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BFB1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9C7A3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594.531,42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09A08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987.578,14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5FD0A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166,1</w:t>
            </w:r>
          </w:p>
        </w:tc>
      </w:tr>
    </w:tbl>
    <w:p w14:paraId="2601919E" w14:textId="77777777" w:rsidR="00FD4851" w:rsidRDefault="00FD4851">
      <w:pPr>
        <w:spacing w:after="0"/>
      </w:pPr>
    </w:p>
    <w:p w14:paraId="253C1D03" w14:textId="77777777" w:rsidR="00FD4851" w:rsidRDefault="001D4BCF">
      <w:pPr>
        <w:spacing w:line="240" w:lineRule="auto"/>
        <w:jc w:val="both"/>
      </w:pPr>
      <w:r>
        <w:t xml:space="preserve">Ovi </w:t>
      </w:r>
      <w:r>
        <w:t>prihodi su nešto veći nego u istom razdoblju prethodne godine, jer smo u prvoj polovici 2025.godine primili sredstva kapitalne pomoći iz EU za dva prijavljena projekta.</w:t>
      </w:r>
    </w:p>
    <w:p w14:paraId="0E31C1ED" w14:textId="77777777" w:rsidR="00FD4851" w:rsidRDefault="00FD4851"/>
    <w:p w14:paraId="25E95FAA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30C332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7C9F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AB31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16187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B6025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</w:t>
            </w:r>
            <w:r>
              <w:rPr>
                <w:b/>
                <w:sz w:val="18"/>
              </w:rPr>
              <w:t>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3E33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1D19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4F38EE8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48A9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C6291C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23F7FA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ED25B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594.531,42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CD772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111.016,25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04B6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18,7</w:t>
            </w:r>
          </w:p>
        </w:tc>
      </w:tr>
    </w:tbl>
    <w:p w14:paraId="5622A719" w14:textId="77777777" w:rsidR="00FD4851" w:rsidRDefault="00FD4851">
      <w:pPr>
        <w:spacing w:after="0"/>
      </w:pPr>
    </w:p>
    <w:p w14:paraId="0A715AED" w14:textId="77777777" w:rsidR="00FD4851" w:rsidRDefault="001D4BCF">
      <w:pPr>
        <w:spacing w:line="240" w:lineRule="auto"/>
        <w:jc w:val="both"/>
      </w:pPr>
      <w:r>
        <w:t xml:space="preserve">Na ovoj stavci prihoda u prvih devet mjeseci ove godine </w:t>
      </w:r>
      <w:r>
        <w:t>ostvareni su prihodi iz državnog proračuna za fiskalnu održivost dječjih vrtića koji se prihoduju mjesečno, dok je na istoj poziciji u prethodnoj godini bio i prihod za fiskalno izravnanje. Također u prvoj polovici  godine na ovoj stavci prihodovana su i s</w:t>
      </w:r>
      <w:r>
        <w:t>redstva (refundacije od strane županije za troškove održanih lokalnih izbora).</w:t>
      </w:r>
    </w:p>
    <w:p w14:paraId="39B9FEB4" w14:textId="77777777" w:rsidR="00FD4851" w:rsidRDefault="00FD4851"/>
    <w:p w14:paraId="2F6D199B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707AD5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7C1D7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2FCA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362C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0D9B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FCF32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092FC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595999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AA75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02609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404C3C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B9694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0957B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296.398,78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799F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D6E3300" w14:textId="77777777" w:rsidR="00FD4851" w:rsidRDefault="00FD4851">
      <w:pPr>
        <w:spacing w:after="0"/>
      </w:pPr>
    </w:p>
    <w:p w14:paraId="67A7658F" w14:textId="77777777" w:rsidR="00FD4851" w:rsidRDefault="001D4BCF">
      <w:pPr>
        <w:spacing w:line="240" w:lineRule="auto"/>
        <w:jc w:val="both"/>
      </w:pPr>
      <w:r>
        <w:t xml:space="preserve">Na računu kapitalne pomoći proračunu ostvareni su prihodi za dva projekta i to: sredstva za projekt rekonstrukcije malonogometnog igrališta i </w:t>
      </w:r>
      <w:r>
        <w:t>košarku u jednom mjesnom odboru i sredstva EU za dogradnju dječjeg vrtića u Svetom Đurđu, a istih prihoda u prethodnoj godini nije bilo.</w:t>
      </w:r>
    </w:p>
    <w:p w14:paraId="1BF001A2" w14:textId="77777777" w:rsidR="00FD4851" w:rsidRDefault="00FD4851"/>
    <w:p w14:paraId="617B5FCB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28EC97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6D49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5DF7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BAF72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A876F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9063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9FA0E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50E24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0FF6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D31A6A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izravnanja za decentralizirane funkcije i fiskalnog izravnanja (šifre 6351 do 6353)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921FC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9935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E665C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535.151,88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DBF9E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A9A19D6" w14:textId="77777777" w:rsidR="00FD4851" w:rsidRDefault="00FD4851">
      <w:pPr>
        <w:spacing w:after="0"/>
      </w:pPr>
    </w:p>
    <w:p w14:paraId="64DE0573" w14:textId="77777777" w:rsidR="00FD4851" w:rsidRDefault="001D4BCF">
      <w:pPr>
        <w:spacing w:line="240" w:lineRule="auto"/>
        <w:jc w:val="both"/>
      </w:pPr>
      <w:r>
        <w:t xml:space="preserve">Prema novom Pravilniku o proračunskom računovodstvu i Računskom planu </w:t>
      </w:r>
      <w:r>
        <w:t>prihodi iz Državnog proračuna od pomoći fiskalnog izravnanja u prethodnoj godini knjiženi su na računu 6331, a od ove godine nalaze se na računu 6353 - pomoći fiskalnog izravnanja (novi konto).</w:t>
      </w:r>
    </w:p>
    <w:p w14:paraId="3483FD65" w14:textId="77777777" w:rsidR="00FD4851" w:rsidRDefault="00FD4851"/>
    <w:p w14:paraId="469CE5C1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7CD300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2703B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56A5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CE7D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7F0D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CF1CA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A32F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697F8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0905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6E8DA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D5261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8E1FB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480F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45.011,23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4150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346858" w14:textId="77777777" w:rsidR="00FD4851" w:rsidRDefault="00FD4851">
      <w:pPr>
        <w:spacing w:after="0"/>
      </w:pPr>
    </w:p>
    <w:p w14:paraId="7893DB2C" w14:textId="77777777" w:rsidR="00FD4851" w:rsidRDefault="001D4BCF">
      <w:pPr>
        <w:spacing w:line="240" w:lineRule="auto"/>
        <w:jc w:val="both"/>
      </w:pPr>
      <w:r>
        <w:t xml:space="preserve">Na računu 63821 - je </w:t>
      </w:r>
      <w:proofErr w:type="spellStart"/>
      <w:r>
        <w:t>dobiveneakapitalna</w:t>
      </w:r>
      <w:proofErr w:type="spellEnd"/>
      <w:r>
        <w:t xml:space="preserve"> pomoć iz državnog </w:t>
      </w:r>
      <w:r>
        <w:t>proračuna temeljem prijenosa EU sredstava od Ministarstva znanosti i obrazovanja za dogradnju dječjeg vrtića.</w:t>
      </w:r>
    </w:p>
    <w:p w14:paraId="5B4C13B4" w14:textId="77777777" w:rsidR="00FD4851" w:rsidRDefault="00FD4851"/>
    <w:p w14:paraId="109CCFD0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1D070A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DD15D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9C74B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6313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B400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A3609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CA4B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DB13BD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9743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5C148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8D7CB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F6D03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181.346,36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E0C3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148.017,11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6A19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</w:t>
            </w:r>
          </w:p>
        </w:tc>
      </w:tr>
    </w:tbl>
    <w:p w14:paraId="3351DD8F" w14:textId="77777777" w:rsidR="00FD4851" w:rsidRDefault="00FD4851">
      <w:pPr>
        <w:spacing w:after="0"/>
      </w:pPr>
    </w:p>
    <w:p w14:paraId="66AD75BD" w14:textId="77777777" w:rsidR="00FD4851" w:rsidRDefault="001D4BCF">
      <w:pPr>
        <w:spacing w:line="240" w:lineRule="auto"/>
        <w:jc w:val="both"/>
      </w:pPr>
      <w:r>
        <w:t xml:space="preserve">Ovi prihodi su manji nego prethodne godine jer u prvih devet mjeseci ove godine bilo je manje uplata za zakup poljoprivrednog zemljišta. Račun 6423 - je konto </w:t>
      </w:r>
      <w:r>
        <w:t xml:space="preserve">naknade za korištenje </w:t>
      </w:r>
      <w:r>
        <w:lastRenderedPageBreak/>
        <w:t>nefinancijske imovine, a manji je u odnosu na isto razdoblje prethodne godine jer je u prvih devet mjeseci naplaćena manja naknada za eksploataciju mineralnih sirovina od strane dviju šljunčara na našem području, kao i manja naknada z</w:t>
      </w:r>
      <w:r>
        <w:t>a korištenje prostora elektrana.</w:t>
      </w:r>
    </w:p>
    <w:p w14:paraId="278AB5BE" w14:textId="77777777" w:rsidR="00FD4851" w:rsidRDefault="00FD4851"/>
    <w:p w14:paraId="0F6B0AF3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18109F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FC65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B9156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6FEC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9543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C08AB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7367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972FDD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CAE87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5330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2D7C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BBC8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DCC12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EB499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41,5</w:t>
            </w:r>
          </w:p>
        </w:tc>
      </w:tr>
    </w:tbl>
    <w:p w14:paraId="6B8044B7" w14:textId="77777777" w:rsidR="00FD4851" w:rsidRDefault="00FD4851">
      <w:pPr>
        <w:spacing w:after="0"/>
      </w:pPr>
    </w:p>
    <w:p w14:paraId="32D9221C" w14:textId="77777777" w:rsidR="00FD4851" w:rsidRDefault="001D4BCF">
      <w:pPr>
        <w:spacing w:line="240" w:lineRule="auto"/>
        <w:jc w:val="both"/>
      </w:pPr>
      <w:r>
        <w:t xml:space="preserve">Prihodi od zateznih kamata su manji u ovoj godini iz razloga jer su u prošloj godini bile obračunate zatezne kamate prema rješenju za ovrhu od strane dviju fizičkih osoba , dok je u ovoj godini obračunata zatezna kamata samo prema jednoj fizičkoj osobi za </w:t>
      </w:r>
      <w:r>
        <w:t>komunalni doprinos.</w:t>
      </w:r>
    </w:p>
    <w:p w14:paraId="4EFE48F0" w14:textId="77777777" w:rsidR="00FD4851" w:rsidRDefault="00FD4851"/>
    <w:p w14:paraId="0C4104F2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05E6FEB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75EA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A702F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A60F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7321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932C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0D223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391539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C563D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93973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C81E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056D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4.468,35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0E48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520,75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BE82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11,7</w:t>
            </w:r>
          </w:p>
        </w:tc>
      </w:tr>
    </w:tbl>
    <w:p w14:paraId="7E3DFD48" w14:textId="77777777" w:rsidR="00FD4851" w:rsidRDefault="00FD4851">
      <w:pPr>
        <w:spacing w:after="0"/>
      </w:pPr>
    </w:p>
    <w:p w14:paraId="2B2A9FE1" w14:textId="77777777" w:rsidR="00FD4851" w:rsidRDefault="001D4BCF">
      <w:pPr>
        <w:spacing w:line="240" w:lineRule="auto"/>
        <w:jc w:val="both"/>
      </w:pPr>
      <w:r>
        <w:t xml:space="preserve">Prihod od </w:t>
      </w:r>
      <w:r>
        <w:t>šumskog doprinosa ostvaren je u puno manjem iznosu nego u istom razdoblju prethodne godine zbog manje izvršenih radova na sječi drva na području općine.</w:t>
      </w:r>
    </w:p>
    <w:p w14:paraId="1D4443CC" w14:textId="77777777" w:rsidR="00FD4851" w:rsidRDefault="00FD4851"/>
    <w:p w14:paraId="5EE9A068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5C18969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B919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C551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874D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866F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3684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33A8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CA9C2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5536D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E2644E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2E277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ADAAA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5.725,49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94E2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4.705,37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B89E9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82,2</w:t>
            </w:r>
          </w:p>
        </w:tc>
      </w:tr>
    </w:tbl>
    <w:p w14:paraId="3795B8AE" w14:textId="77777777" w:rsidR="00FD4851" w:rsidRDefault="00FD4851">
      <w:pPr>
        <w:spacing w:after="0"/>
      </w:pPr>
    </w:p>
    <w:p w14:paraId="05DAAB34" w14:textId="77777777" w:rsidR="00FD4851" w:rsidRDefault="001D4BCF">
      <w:pPr>
        <w:spacing w:line="240" w:lineRule="auto"/>
        <w:jc w:val="both"/>
      </w:pPr>
      <w:r>
        <w:t xml:space="preserve">Prihodi na računu 65268 - ostali nespomenuti prihodi odnose se na uplate potrošnje plina za korištenje društvenih domova po </w:t>
      </w:r>
      <w:r>
        <w:t xml:space="preserve">mjesnim </w:t>
      </w:r>
      <w:proofErr w:type="spellStart"/>
      <w:r>
        <w:t>doborima</w:t>
      </w:r>
      <w:proofErr w:type="spellEnd"/>
      <w:r>
        <w:t xml:space="preserve"> </w:t>
      </w:r>
      <w:proofErr w:type="spellStart"/>
      <w:r>
        <w:t>pd</w:t>
      </w:r>
      <w:proofErr w:type="spellEnd"/>
      <w:r>
        <w:t xml:space="preserve"> strane fizičkih osoba, prihode od potrošnje energenata (</w:t>
      </w:r>
      <w:proofErr w:type="spellStart"/>
      <w:r>
        <w:t>struja,voda,plin</w:t>
      </w:r>
      <w:proofErr w:type="spellEnd"/>
      <w:r>
        <w:t>) za poslovne prostore u vlasništvu općine. Na istom računu u prvoj polovici 2025.godine proknjiženi su i prihodi od uplate jamstva za ozbiljnost dviju ponuda po na</w:t>
      </w:r>
      <w:r>
        <w:t>tječaju za opremanje dječjeg vrtića.</w:t>
      </w:r>
    </w:p>
    <w:p w14:paraId="30E6A203" w14:textId="77777777" w:rsidR="00FD4851" w:rsidRDefault="00FD4851"/>
    <w:p w14:paraId="1AE228CE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lastRenderedPageBreak/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4F4A62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4426E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52B0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FC37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AA0F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9E23C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F99C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61CF9E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B06E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905FEF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2A17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CA4A39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8E325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16.171,41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D1D7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1303,3</w:t>
            </w:r>
          </w:p>
        </w:tc>
      </w:tr>
    </w:tbl>
    <w:p w14:paraId="74F96596" w14:textId="77777777" w:rsidR="00FD4851" w:rsidRDefault="00FD4851">
      <w:pPr>
        <w:spacing w:after="0"/>
      </w:pPr>
    </w:p>
    <w:p w14:paraId="1EBB155E" w14:textId="77777777" w:rsidR="00FD4851" w:rsidRDefault="001D4BCF">
      <w:pPr>
        <w:spacing w:line="240" w:lineRule="auto"/>
        <w:jc w:val="both"/>
      </w:pPr>
      <w:r>
        <w:t xml:space="preserve">Na računu 65311 - komunalni doprinosi - ovdje se nalazi najveće odstupanje - iz razloga jer je u 2024.godini uplaćen je bio samo komunalni doprinos od strane jedne fizičke osobe, dok je u prvih devet mjeseci ove godine uplaćen puno </w:t>
      </w:r>
      <w:r>
        <w:t>veći komunalni doprinos i to za izgradnju sunčane elektrane od strane jedne pravne osobe, te još dvije uplate za komunalni doprinos za obiteljske kuće prilikom legalizacije građevinskih objekata od strane dviju fizičkih osoba.</w:t>
      </w:r>
    </w:p>
    <w:p w14:paraId="0A2F83F4" w14:textId="77777777" w:rsidR="00FD4851" w:rsidRDefault="00FD4851"/>
    <w:p w14:paraId="5BE5E215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741B3AB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F338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9354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D160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53818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C261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6D9C8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CD0B35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85D7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176A8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5EF9B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9EA359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3.379,14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ED33D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3.519,62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EACD3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104,2</w:t>
            </w:r>
          </w:p>
        </w:tc>
      </w:tr>
    </w:tbl>
    <w:p w14:paraId="3D7C0491" w14:textId="77777777" w:rsidR="00FD4851" w:rsidRDefault="00FD4851">
      <w:pPr>
        <w:spacing w:after="0"/>
      </w:pPr>
    </w:p>
    <w:p w14:paraId="59C7F5DB" w14:textId="77777777" w:rsidR="00FD4851" w:rsidRDefault="001D4BCF">
      <w:pPr>
        <w:spacing w:line="240" w:lineRule="auto"/>
        <w:jc w:val="both"/>
      </w:pPr>
      <w:r>
        <w:t xml:space="preserve">Na računu 6615 - prihodi od pruženih usluga - </w:t>
      </w:r>
      <w:r>
        <w:t>ostvareni su prihodi od naplate 10% materijalnih troškova i troškova distribucije uplatnica za Hrvatske vode, koje nam oni refundiraju.</w:t>
      </w:r>
    </w:p>
    <w:p w14:paraId="672FC1D3" w14:textId="77777777" w:rsidR="00FD4851" w:rsidRDefault="00FD4851"/>
    <w:p w14:paraId="2E2BB1BE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0DBAFA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E83B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1EE39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0DB38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C36A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A6A6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</w:t>
            </w:r>
            <w:r>
              <w:rPr>
                <w:b/>
                <w:sz w:val="18"/>
              </w:rPr>
              <w:t>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FFBC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C406F5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2828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C6224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za prekršaje na kulturnim dobrima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EB2B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BB396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95045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291,44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58AF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219,6</w:t>
            </w:r>
          </w:p>
        </w:tc>
      </w:tr>
    </w:tbl>
    <w:p w14:paraId="6EFBEECF" w14:textId="77777777" w:rsidR="00FD4851" w:rsidRDefault="00FD4851">
      <w:pPr>
        <w:spacing w:after="0"/>
      </w:pPr>
    </w:p>
    <w:p w14:paraId="520580B8" w14:textId="77777777" w:rsidR="00FD4851" w:rsidRDefault="001D4BCF">
      <w:pPr>
        <w:spacing w:line="240" w:lineRule="auto"/>
        <w:jc w:val="both"/>
      </w:pPr>
      <w:r>
        <w:t xml:space="preserve">Povećanje ove stavke prihoda u prvih devet mjeseci na računu 6817 - kazne za prekršaje na kulturnim dobrima je prihod naplaćene kazne za </w:t>
      </w:r>
      <w:r>
        <w:t>nezakonito odlaganje komunalnog otpada od strane dviju fizičkih osoba, dok su u prethodnoj godini ostvareni isti prihodi ali od strane jedne fizičke osobe.</w:t>
      </w:r>
    </w:p>
    <w:p w14:paraId="3828070F" w14:textId="77777777" w:rsidR="00FD4851" w:rsidRDefault="00FD4851"/>
    <w:p w14:paraId="72A399B8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1F1CCB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4D2EC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8DA7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B1F45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F6FFF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6DBF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F2150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738ED97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CA6FB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2CB24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BFE56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035D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E9DD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B5E5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57,8</w:t>
            </w:r>
          </w:p>
        </w:tc>
      </w:tr>
    </w:tbl>
    <w:p w14:paraId="4A3A7EDB" w14:textId="77777777" w:rsidR="00FD4851" w:rsidRDefault="00FD4851">
      <w:pPr>
        <w:spacing w:after="0"/>
      </w:pPr>
    </w:p>
    <w:p w14:paraId="41216782" w14:textId="77777777" w:rsidR="00FD4851" w:rsidRDefault="001D4BCF">
      <w:pPr>
        <w:spacing w:line="240" w:lineRule="auto"/>
        <w:jc w:val="both"/>
      </w:pPr>
      <w:r>
        <w:lastRenderedPageBreak/>
        <w:t xml:space="preserve">Ovaj prihod je manji nego prethodne godine jer je u 2025.godini izvršena uplata samo jedne naknade za nezakonito zadržane zgrade u </w:t>
      </w:r>
      <w:r>
        <w:t>prostoru, odnosno legalizacija građevinskog objekta od strane jedne fizičke osobe, dok je u prošloj godini bilo više uplata.</w:t>
      </w:r>
    </w:p>
    <w:p w14:paraId="398CB8CC" w14:textId="77777777" w:rsidR="00FD4851" w:rsidRDefault="00FD4851"/>
    <w:p w14:paraId="669A4A64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7B53D4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4C7D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2E04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258C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84E6D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7CAE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</w:t>
            </w:r>
            <w:r>
              <w:rPr>
                <w:b/>
                <w:sz w:val="18"/>
              </w:rPr>
              <w:t>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50A84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54F095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14BADC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8517B4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F398E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DB9A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1.641,38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07E61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2.518,19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25FC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153,4</w:t>
            </w:r>
          </w:p>
        </w:tc>
      </w:tr>
    </w:tbl>
    <w:p w14:paraId="2C96E6CA" w14:textId="77777777" w:rsidR="00FD4851" w:rsidRDefault="00FD4851">
      <w:pPr>
        <w:spacing w:after="0"/>
      </w:pPr>
    </w:p>
    <w:p w14:paraId="3420A342" w14:textId="77777777" w:rsidR="00FD4851" w:rsidRDefault="001D4BCF">
      <w:pPr>
        <w:spacing w:line="240" w:lineRule="auto"/>
        <w:jc w:val="both"/>
      </w:pPr>
      <w:r>
        <w:t>Na ovoj stavci ostalih prihoda u prvih devet mjeseci ove godine su prihodi od povrata duplo uplaćenih sredstava po pojedinom računu, te povrat sredstava od HZZO-a.</w:t>
      </w:r>
    </w:p>
    <w:p w14:paraId="6323E694" w14:textId="77777777" w:rsidR="00FD4851" w:rsidRDefault="00FD4851"/>
    <w:p w14:paraId="7351A02B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43ED69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7A7AB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3C53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24C1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DD85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C0334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B155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7148F4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FB832A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E3A50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E849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714B2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201.121,94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5DF1A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274.512,22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0BD07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136,5</w:t>
            </w:r>
          </w:p>
        </w:tc>
      </w:tr>
    </w:tbl>
    <w:p w14:paraId="16EA871E" w14:textId="77777777" w:rsidR="00FD4851" w:rsidRDefault="00FD4851">
      <w:pPr>
        <w:spacing w:after="0"/>
      </w:pPr>
    </w:p>
    <w:p w14:paraId="3E4E4637" w14:textId="77777777" w:rsidR="00FD4851" w:rsidRDefault="001D4BCF">
      <w:pPr>
        <w:spacing w:line="240" w:lineRule="auto"/>
        <w:jc w:val="both"/>
      </w:pPr>
      <w:r>
        <w:t xml:space="preserve">Rashodi za </w:t>
      </w:r>
      <w:r>
        <w:t>zaposlene u prvih devet mjeseci 2025.godine veći su u odnosu na rashode za zaposlene u istom razdoblju prethodne godine. Sve kategorije rashoda za zaposlene bilježe povećanje u promatranom razdoblju, izuzev konta 3112 - plaće u naravi (što se odnosi na dne</w:t>
      </w:r>
      <w:r>
        <w:t>vne obroke, odnosno prehranu djelatnika).</w:t>
      </w:r>
    </w:p>
    <w:p w14:paraId="5BE88E49" w14:textId="77777777" w:rsidR="00FD4851" w:rsidRDefault="00FD4851"/>
    <w:p w14:paraId="03A76C5A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0F7CD6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F4666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094F9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401DD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598D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858B4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D29E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91164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A580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4FF53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FDFD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BAAA7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133.085,09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AB15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179.252,47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E2E25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134,7</w:t>
            </w:r>
          </w:p>
        </w:tc>
      </w:tr>
    </w:tbl>
    <w:p w14:paraId="7B3B98AF" w14:textId="77777777" w:rsidR="00FD4851" w:rsidRDefault="00FD4851">
      <w:pPr>
        <w:spacing w:after="0"/>
      </w:pPr>
    </w:p>
    <w:p w14:paraId="385D6916" w14:textId="77777777" w:rsidR="00FD4851" w:rsidRDefault="001D4BCF">
      <w:pPr>
        <w:spacing w:line="240" w:lineRule="auto"/>
        <w:jc w:val="both"/>
      </w:pPr>
      <w:r>
        <w:t xml:space="preserve">U prvih devet mjeseci ove godine veći su rashodi za plaće za redovan rad (134,7%) iz razloga povećanja koeficijenata i osnovice početkom ove godine za sve zaposlene, također se i povećanje odnosi i na poreze i </w:t>
      </w:r>
      <w:r>
        <w:t>doprinose za mirovinsko i zdravstveno osiguranje.</w:t>
      </w:r>
    </w:p>
    <w:p w14:paraId="7295400A" w14:textId="77777777" w:rsidR="00FD4851" w:rsidRDefault="00FD4851"/>
    <w:p w14:paraId="62C6B1AC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134978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9AFF0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35BC4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5C86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565D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FD35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5AED2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4A5EDC7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231E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60663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E583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CC43E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122.890,12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56A92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169.603,82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4E12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138,0</w:t>
            </w:r>
          </w:p>
        </w:tc>
      </w:tr>
    </w:tbl>
    <w:p w14:paraId="343D1474" w14:textId="77777777" w:rsidR="00FD4851" w:rsidRDefault="00FD4851">
      <w:pPr>
        <w:spacing w:after="0"/>
      </w:pPr>
    </w:p>
    <w:p w14:paraId="264681B4" w14:textId="77777777" w:rsidR="00FD4851" w:rsidRDefault="001D4BCF">
      <w:pPr>
        <w:spacing w:line="240" w:lineRule="auto"/>
        <w:jc w:val="both"/>
      </w:pPr>
      <w:r>
        <w:lastRenderedPageBreak/>
        <w:t xml:space="preserve">U prvih devet mjeseci ove godine veći su rashodi za plaće za redovan rad (138,0%) iz razloga povećanja koeficijenata i osnovice početkom ove godine za sve zaposlene, također se i povećanje odnosi i na poreze i </w:t>
      </w:r>
      <w:r>
        <w:t>doprinose za mirovinsko i zdravstveno osiguranje.</w:t>
      </w:r>
    </w:p>
    <w:p w14:paraId="79EAAEE1" w14:textId="77777777" w:rsidR="00FD4851" w:rsidRDefault="00FD4851"/>
    <w:p w14:paraId="3B43DB6F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525039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46082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4211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66C73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F5BB4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1FAB3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F8AEA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0A7C5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AE08E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9951E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E8C52A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E0D4D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14.539,00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5139B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19.058,66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2092A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0F4600E7" w14:textId="77777777" w:rsidR="00FD4851" w:rsidRDefault="00FD4851">
      <w:pPr>
        <w:spacing w:after="0"/>
      </w:pPr>
    </w:p>
    <w:p w14:paraId="0B9D49F1" w14:textId="77777777" w:rsidR="00FD4851" w:rsidRDefault="001D4BCF">
      <w:pPr>
        <w:spacing w:line="240" w:lineRule="auto"/>
        <w:jc w:val="both"/>
      </w:pPr>
      <w:r>
        <w:t xml:space="preserve">Na ostalim rashodima za zaposlene veće je odstupanje u odnosu na prethodnu godinu, a odnosi se na iste rashode kao i u 2024.godini, osim što je u prvoj polovici 2025.godine isplaćena jedna otpremnina za djelatnika koji je </w:t>
      </w:r>
      <w:r>
        <w:t>odlazio u mirovinu.</w:t>
      </w:r>
    </w:p>
    <w:p w14:paraId="2C2A5E3C" w14:textId="77777777" w:rsidR="00FD4851" w:rsidRDefault="00FD4851"/>
    <w:p w14:paraId="706DDE0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754BDF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C8E6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FB00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1CA1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A3FA9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0C83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9DFEF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7AA526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AE49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8025A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rashodi (šifre </w:t>
            </w:r>
            <w:r>
              <w:rPr>
                <w:sz w:val="18"/>
              </w:rPr>
              <w:t>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09B4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C1F46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406.966,24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CA8FD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369.638,48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FD760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90,8</w:t>
            </w:r>
          </w:p>
        </w:tc>
      </w:tr>
    </w:tbl>
    <w:p w14:paraId="2CC045E5" w14:textId="77777777" w:rsidR="00FD4851" w:rsidRDefault="00FD4851">
      <w:pPr>
        <w:spacing w:after="0"/>
      </w:pPr>
    </w:p>
    <w:p w14:paraId="67462673" w14:textId="77777777" w:rsidR="00FD4851" w:rsidRDefault="001D4BCF">
      <w:pPr>
        <w:spacing w:line="240" w:lineRule="auto"/>
        <w:jc w:val="both"/>
      </w:pPr>
      <w:r>
        <w:t xml:space="preserve">Skupina računa 32 - materijalni rashodi u prvih devet mjeseci 2025.godine ostvareni su nešto manji (90,8%) nego u istom razdoblju prethodne godine, osim na nekoliko pozicija koje su veće nego u </w:t>
      </w:r>
      <w:r>
        <w:t>2024.godini. Za veća odstupanja pojašnjeno je uz pojedine šifre računa.</w:t>
      </w:r>
    </w:p>
    <w:p w14:paraId="093DF5D4" w14:textId="77777777" w:rsidR="00FD4851" w:rsidRDefault="00FD4851"/>
    <w:p w14:paraId="290C76A5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18943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306D5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03EF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DC235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45388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71F3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95380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5E3B904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33F87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D0B39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796E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5FCD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B13F17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CE025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4,2</w:t>
            </w:r>
          </w:p>
        </w:tc>
      </w:tr>
    </w:tbl>
    <w:p w14:paraId="2E1BC0A0" w14:textId="77777777" w:rsidR="00FD4851" w:rsidRDefault="00FD4851">
      <w:pPr>
        <w:spacing w:after="0"/>
      </w:pPr>
    </w:p>
    <w:p w14:paraId="79B98E1E" w14:textId="77777777" w:rsidR="00FD4851" w:rsidRDefault="001D4BCF">
      <w:pPr>
        <w:spacing w:line="240" w:lineRule="auto"/>
        <w:jc w:val="both"/>
      </w:pPr>
      <w:r>
        <w:t>Račun 3211 za službena putovanja manji je puno nego prethodne godine, jer se u ovoj godini izvršila isplata samo dviju cestarina dok je u 2024.godini bila isplaćena i dnevnica za služena putovanja.</w:t>
      </w:r>
    </w:p>
    <w:p w14:paraId="5E8E067D" w14:textId="77777777" w:rsidR="00FD4851" w:rsidRDefault="00FD4851"/>
    <w:p w14:paraId="099BD157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347AEF3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BAA79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CDD9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CF1F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B9F5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8BD9A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A368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3DC109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751AA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44D44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917D6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8442F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1.354,54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0ABFB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3.292,18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68FD1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243,0</w:t>
            </w:r>
          </w:p>
        </w:tc>
      </w:tr>
    </w:tbl>
    <w:p w14:paraId="31A115A0" w14:textId="77777777" w:rsidR="00FD4851" w:rsidRDefault="00FD4851">
      <w:pPr>
        <w:spacing w:after="0"/>
      </w:pPr>
    </w:p>
    <w:p w14:paraId="0BC7580C" w14:textId="77777777" w:rsidR="00FD4851" w:rsidRDefault="001D4BCF">
      <w:pPr>
        <w:spacing w:line="240" w:lineRule="auto"/>
        <w:jc w:val="both"/>
      </w:pPr>
      <w:r>
        <w:lastRenderedPageBreak/>
        <w:t xml:space="preserve">Na ovom računu </w:t>
      </w:r>
      <w:r>
        <w:t xml:space="preserve">nalazi se veće odstupanje u odnosu na prethodnu godinu iz razloga više plaćenih </w:t>
      </w:r>
      <w:proofErr w:type="spellStart"/>
      <w:r>
        <w:t>webinara</w:t>
      </w:r>
      <w:proofErr w:type="spellEnd"/>
      <w:r>
        <w:t xml:space="preserve"> iz područja usavršavanja za javnu nabavu i proračunsko računovodstvo.</w:t>
      </w:r>
    </w:p>
    <w:p w14:paraId="79896B52" w14:textId="77777777" w:rsidR="00FD4851" w:rsidRDefault="00FD4851"/>
    <w:p w14:paraId="27E71403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047C89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78E3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850C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029A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BB8F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319B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E80B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310550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431B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B3696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DEA7C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D7223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103.204,82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49205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61.988,48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6A09C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60,1</w:t>
            </w:r>
          </w:p>
        </w:tc>
      </w:tr>
    </w:tbl>
    <w:p w14:paraId="33DF2CF2" w14:textId="77777777" w:rsidR="00FD4851" w:rsidRDefault="00FD4851">
      <w:pPr>
        <w:spacing w:after="0"/>
      </w:pPr>
    </w:p>
    <w:p w14:paraId="13CC1389" w14:textId="77777777" w:rsidR="00FD4851" w:rsidRDefault="001D4BCF">
      <w:pPr>
        <w:spacing w:line="240" w:lineRule="auto"/>
        <w:jc w:val="both"/>
      </w:pPr>
      <w:r>
        <w:t xml:space="preserve">Na ovom računu računskog plana 322 - rashodi za materijal i energiju svi rashodi su manji nego u </w:t>
      </w:r>
      <w:r>
        <w:t>istom razdoblju prethodne godine (iz razloga manjih utroška za pojedini materijal i manji utrošak energenata).</w:t>
      </w:r>
    </w:p>
    <w:p w14:paraId="17163D86" w14:textId="77777777" w:rsidR="00FD4851" w:rsidRDefault="00FD4851"/>
    <w:p w14:paraId="4B42ED7C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502584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9D838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CC28A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FD77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90F5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0EA87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62B77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4CFFD7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F09D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09F4D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01E31A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2028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217.179,46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D7198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265.176,03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C3EB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122,1</w:t>
            </w:r>
          </w:p>
        </w:tc>
      </w:tr>
    </w:tbl>
    <w:p w14:paraId="0DEA6B10" w14:textId="77777777" w:rsidR="00FD4851" w:rsidRDefault="00FD4851">
      <w:pPr>
        <w:spacing w:after="0"/>
      </w:pPr>
    </w:p>
    <w:p w14:paraId="751A0E04" w14:textId="77777777" w:rsidR="00FD4851" w:rsidRDefault="001D4BCF">
      <w:pPr>
        <w:spacing w:line="240" w:lineRule="auto"/>
        <w:jc w:val="both"/>
      </w:pPr>
      <w:r>
        <w:t xml:space="preserve">Rashodi za usluge u prvih devet mjeseci 2025.godine ostvareni su za 122,1% veći u odnosu na ostvarene rashode u promatranom razdoblju </w:t>
      </w:r>
      <w:r>
        <w:t xml:space="preserve">prethodne godine, izuzev usluga telefona, </w:t>
      </w:r>
      <w:proofErr w:type="spellStart"/>
      <w:r>
        <w:t>interneta,pošte</w:t>
      </w:r>
      <w:proofErr w:type="spellEnd"/>
      <w:r>
        <w:t>.</w:t>
      </w:r>
    </w:p>
    <w:p w14:paraId="03989B0E" w14:textId="77777777" w:rsidR="00FD4851" w:rsidRDefault="00FD4851"/>
    <w:p w14:paraId="10811545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42E422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19BFD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E1C21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0F46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C144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2452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D4AC5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52256C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612D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D9BF1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Zakupnine i </w:t>
            </w:r>
            <w:r>
              <w:rPr>
                <w:sz w:val="18"/>
              </w:rPr>
              <w:t>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B4649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83A807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9.704,89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2171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27.507,43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BD13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283,4</w:t>
            </w:r>
          </w:p>
        </w:tc>
      </w:tr>
    </w:tbl>
    <w:p w14:paraId="00B46567" w14:textId="77777777" w:rsidR="00FD4851" w:rsidRDefault="00FD4851">
      <w:pPr>
        <w:spacing w:after="0"/>
      </w:pPr>
    </w:p>
    <w:p w14:paraId="23A2CC7A" w14:textId="77777777" w:rsidR="00FD4851" w:rsidRDefault="001D4BCF">
      <w:pPr>
        <w:spacing w:line="240" w:lineRule="auto"/>
        <w:jc w:val="both"/>
      </w:pPr>
      <w:r>
        <w:t xml:space="preserve">Račun iz računskog plana 3235 - zakupnine i najamnine - rashodi su veći za 283,4% u odnosu na prethodnu godinu, jer se u 2024.godini na ovom računu knjižilo samo sufinanciranje najma zgrade OŠ, dok se od ove </w:t>
      </w:r>
      <w:r>
        <w:t>godine na tom računu knjiže i mjesečni najmi aparata za kavu i vodu, te najam fotokopirnog aparata.</w:t>
      </w:r>
    </w:p>
    <w:p w14:paraId="378B36AB" w14:textId="77777777" w:rsidR="00FD4851" w:rsidRDefault="00FD4851"/>
    <w:p w14:paraId="72BD14FF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6C62800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B7F1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8346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EF4E7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A1755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00D4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977B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FD4851" w14:paraId="3B48DE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D71AA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26983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A95EA1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9FFD4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4.018,30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3C4B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6.438,46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E5E0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160,2</w:t>
            </w:r>
          </w:p>
        </w:tc>
      </w:tr>
    </w:tbl>
    <w:p w14:paraId="7589A674" w14:textId="77777777" w:rsidR="00FD4851" w:rsidRDefault="00FD4851">
      <w:pPr>
        <w:spacing w:after="0"/>
      </w:pPr>
    </w:p>
    <w:p w14:paraId="3CC3AC72" w14:textId="77777777" w:rsidR="00FD4851" w:rsidRDefault="001D4BCF">
      <w:pPr>
        <w:spacing w:line="240" w:lineRule="auto"/>
        <w:jc w:val="both"/>
      </w:pPr>
      <w:r>
        <w:lastRenderedPageBreak/>
        <w:t xml:space="preserve">Zdravstvene i veterinarske usluge veće su u odnosu na prethodnu godinu za 160,2% iz razloga plaćanja police zdravstvenog sistematskog pregleda svih zaposlenika, te dva </w:t>
      </w:r>
      <w:r>
        <w:t>liječnička pregleda za dvije nove djelatnice prilikom zaposlenja, što nije bio slučaj u 2024.godini.</w:t>
      </w:r>
    </w:p>
    <w:p w14:paraId="39BB7871" w14:textId="77777777" w:rsidR="00FD4851" w:rsidRDefault="00FD4851"/>
    <w:p w14:paraId="68085786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47DF0C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128CA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AB3F8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B216B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DFBB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4E6CC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FEB3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13B4D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7DF1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362C9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58FE9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2B8BA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11.504,98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9919E7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16.387,00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83680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142,4</w:t>
            </w:r>
          </w:p>
        </w:tc>
      </w:tr>
    </w:tbl>
    <w:p w14:paraId="2B2883F1" w14:textId="77777777" w:rsidR="00FD4851" w:rsidRDefault="00FD4851">
      <w:pPr>
        <w:spacing w:after="0"/>
      </w:pPr>
    </w:p>
    <w:p w14:paraId="4C5A730A" w14:textId="77777777" w:rsidR="00FD4851" w:rsidRDefault="001D4BCF">
      <w:pPr>
        <w:spacing w:line="240" w:lineRule="auto"/>
        <w:jc w:val="both"/>
      </w:pPr>
      <w:r>
        <w:t xml:space="preserve">Na ovom računu su nešto veći rashodi nego u isto vrijeme prethodne godine iz razloga plaćanja dva računa za usluge prihvata pasa lutalica u sklonište jedne Udruge, a prema </w:t>
      </w:r>
      <w:r>
        <w:t>Ugovoru koji je općina sklopila. Istih rashoda u prethodnoj godini nije bilo.</w:t>
      </w:r>
    </w:p>
    <w:p w14:paraId="44FC3334" w14:textId="77777777" w:rsidR="00FD4851" w:rsidRDefault="00FD4851"/>
    <w:p w14:paraId="1A45334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319934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DC98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9B8A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EDD2E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FF76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81FE9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16D4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54C36C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FDCD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47920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AB8D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50F75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79.586,04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2D1D57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34.353,91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B8BE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43,2</w:t>
            </w:r>
          </w:p>
        </w:tc>
      </w:tr>
    </w:tbl>
    <w:p w14:paraId="68337654" w14:textId="77777777" w:rsidR="00FD4851" w:rsidRDefault="00FD4851">
      <w:pPr>
        <w:spacing w:after="0"/>
      </w:pPr>
    </w:p>
    <w:p w14:paraId="194F68E2" w14:textId="77777777" w:rsidR="00FD4851" w:rsidRDefault="001D4BCF">
      <w:pPr>
        <w:spacing w:line="240" w:lineRule="auto"/>
        <w:jc w:val="both"/>
      </w:pPr>
      <w:r>
        <w:t xml:space="preserve">Pod ostalim nespomenutim rashodima poslovanja rashodi su manji nego u istom razdoblju prethodne godine (43,2%) i to jedino na stavci 3299 - ostali </w:t>
      </w:r>
      <w:r>
        <w:t>nespomenuti rashodi poslovanja (8,0%), dok su sve ostale stavke rashoda veće u odnosu na prethodnu godinu i pojašnjene u nastavku pojedinačno.</w:t>
      </w:r>
    </w:p>
    <w:p w14:paraId="16775CF4" w14:textId="77777777" w:rsidR="00FD4851" w:rsidRDefault="00FD4851"/>
    <w:p w14:paraId="7C35AE9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2C43E5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78C32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E3B4C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9A97E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C1299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56F0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246D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9EE92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C0438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EAED8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828D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32B7A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1.929,52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BCB139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2.916,15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E7C7F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151,1</w:t>
            </w:r>
          </w:p>
        </w:tc>
      </w:tr>
    </w:tbl>
    <w:p w14:paraId="7084FD1A" w14:textId="77777777" w:rsidR="00FD4851" w:rsidRDefault="00FD4851">
      <w:pPr>
        <w:spacing w:after="0"/>
      </w:pPr>
    </w:p>
    <w:p w14:paraId="38EEBFF6" w14:textId="77777777" w:rsidR="00FD4851" w:rsidRDefault="001D4BCF">
      <w:pPr>
        <w:spacing w:line="240" w:lineRule="auto"/>
        <w:jc w:val="both"/>
      </w:pPr>
      <w:r>
        <w:t xml:space="preserve">Šifra računa 3292 - premije osiguranja - ostvareni su veći rashodi nego prethodne godine iz razloga plaćanja računa za policu osiguranja </w:t>
      </w:r>
      <w:r>
        <w:t>općinske imovine u godišnjem iznosu u prvih devet mjeseci ove godine, što u prethodnoj godini nije bio slučaj.</w:t>
      </w:r>
    </w:p>
    <w:p w14:paraId="3A472166" w14:textId="77777777" w:rsidR="00FD4851" w:rsidRDefault="00FD4851"/>
    <w:p w14:paraId="55D92882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lastRenderedPageBreak/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3D2504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F3F6F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573A1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5CCA6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D3B1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0B64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3C877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4FD79A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1FB01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B30A5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A191D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4A8D7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7.006,44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AE21B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12.769,21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511D2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182,2</w:t>
            </w:r>
          </w:p>
        </w:tc>
      </w:tr>
    </w:tbl>
    <w:p w14:paraId="1D4F627E" w14:textId="77777777" w:rsidR="00FD4851" w:rsidRDefault="00FD4851">
      <w:pPr>
        <w:spacing w:after="0"/>
      </w:pPr>
    </w:p>
    <w:p w14:paraId="09823985" w14:textId="77777777" w:rsidR="00FD4851" w:rsidRDefault="001D4BCF">
      <w:pPr>
        <w:spacing w:line="240" w:lineRule="auto"/>
        <w:jc w:val="both"/>
      </w:pPr>
      <w:r>
        <w:t>Troškovi reprezentacije povećani su u odnosu na 2024.godinu iz razloga većih troškova za proslavu Dana općine.</w:t>
      </w:r>
    </w:p>
    <w:p w14:paraId="63E54A34" w14:textId="77777777" w:rsidR="00FD4851" w:rsidRDefault="00FD4851"/>
    <w:p w14:paraId="6E5C9124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5624E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913A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B2E39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D1616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1C46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29123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C9D8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3A1ACB4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D810F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10B02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426D6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6C133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8DB3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917,86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E074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572,1</w:t>
            </w:r>
          </w:p>
        </w:tc>
      </w:tr>
    </w:tbl>
    <w:p w14:paraId="30F5F089" w14:textId="77777777" w:rsidR="00FD4851" w:rsidRDefault="00FD4851">
      <w:pPr>
        <w:spacing w:after="0"/>
      </w:pPr>
    </w:p>
    <w:p w14:paraId="66198E03" w14:textId="77777777" w:rsidR="00FD4851" w:rsidRDefault="001D4BCF">
      <w:pPr>
        <w:spacing w:line="240" w:lineRule="auto"/>
        <w:jc w:val="both"/>
      </w:pPr>
      <w:r>
        <w:t xml:space="preserve">Šifra računa 3295 - pristojbe i naknade - veći rashod je nego prethodne godine, a </w:t>
      </w:r>
      <w:r>
        <w:t>odnosi se na račun za ovjeru ugovora kod javnog bilježnika, što nije bio slučaj u 2024.godini.</w:t>
      </w:r>
    </w:p>
    <w:p w14:paraId="7D69E58C" w14:textId="77777777" w:rsidR="00FD4851" w:rsidRDefault="00FD4851"/>
    <w:p w14:paraId="6298319B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2BA1772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3E9F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4713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830D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15494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8AE4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2242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</w:t>
            </w:r>
            <w:r>
              <w:rPr>
                <w:b/>
                <w:sz w:val="18"/>
              </w:rPr>
              <w:t>%)</w:t>
            </w:r>
          </w:p>
        </w:tc>
      </w:tr>
      <w:tr w:rsidR="00FD4851" w14:paraId="413BDD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6148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2E395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A7E5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ECC1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57.925,69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D8766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4.656,80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43F4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8,0</w:t>
            </w:r>
          </w:p>
        </w:tc>
      </w:tr>
    </w:tbl>
    <w:p w14:paraId="30A7DB1B" w14:textId="77777777" w:rsidR="00FD4851" w:rsidRDefault="00FD4851">
      <w:pPr>
        <w:spacing w:after="0"/>
      </w:pPr>
    </w:p>
    <w:p w14:paraId="328D55A1" w14:textId="77777777" w:rsidR="00FD4851" w:rsidRDefault="001D4BCF">
      <w:pPr>
        <w:spacing w:line="240" w:lineRule="auto"/>
        <w:jc w:val="both"/>
      </w:pPr>
      <w:r>
        <w:t xml:space="preserve">Na ovoj stavci rashoda 3299 - ostali nespomenuti rashodi poslovanja - tu su puno veći rashodi u 2024.godini iz razloga jer se održala manifestacija proslave Dana općine </w:t>
      </w:r>
      <w:r>
        <w:t>"</w:t>
      </w:r>
      <w:proofErr w:type="spellStart"/>
      <w:r>
        <w:t>Đurđevo</w:t>
      </w:r>
      <w:proofErr w:type="spellEnd"/>
      <w:r>
        <w:t xml:space="preserve"> 2024" (</w:t>
      </w:r>
      <w:proofErr w:type="spellStart"/>
      <w:r>
        <w:t>koncerti,likovna</w:t>
      </w:r>
      <w:proofErr w:type="spellEnd"/>
      <w:r>
        <w:t xml:space="preserve"> kolonija, kazališne predstave, natjecanje u kuharstvu...), dok veće proslave Dana općine u 2025.godini nije bilo.</w:t>
      </w:r>
    </w:p>
    <w:p w14:paraId="731ACB84" w14:textId="77777777" w:rsidR="00FD4851" w:rsidRDefault="00FD4851"/>
    <w:p w14:paraId="65FE7279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5AF69B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A7EF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5E95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5117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6B9C7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DFE0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673D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762B76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C3F71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EC061A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B2E2D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64D2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11.229,32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BB416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46.757,61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859D7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416,4</w:t>
            </w:r>
          </w:p>
        </w:tc>
      </w:tr>
    </w:tbl>
    <w:p w14:paraId="7C5DC975" w14:textId="77777777" w:rsidR="00FD4851" w:rsidRDefault="00FD4851">
      <w:pPr>
        <w:spacing w:after="0"/>
      </w:pPr>
    </w:p>
    <w:p w14:paraId="350698CC" w14:textId="77777777" w:rsidR="00FD4851" w:rsidRDefault="001D4BCF">
      <w:pPr>
        <w:spacing w:line="240" w:lineRule="auto"/>
        <w:jc w:val="both"/>
      </w:pPr>
      <w:r>
        <w:t xml:space="preserve">Na skupini računa 34 - financijski rashodi - puno je veće odstupanje u odnosu na prethodnu godinu zbog nove stavke u </w:t>
      </w:r>
      <w:r>
        <w:t>prvoj polovici 2025.godine pod ostalim nespomenutim financijskim rashodima i zateznim kamatama (pojašnjenja se nalaze u nastavku za svaku poziciju pojedinačno).</w:t>
      </w:r>
    </w:p>
    <w:p w14:paraId="5920975C" w14:textId="77777777" w:rsidR="00FD4851" w:rsidRDefault="00FD4851"/>
    <w:p w14:paraId="525B88A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lastRenderedPageBreak/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6700B4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7300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1AA54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3971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0848C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C40F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B56C1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684D40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0FEBC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D59DD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52BC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3E4A7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BC705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F2FE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1548,1</w:t>
            </w:r>
          </w:p>
        </w:tc>
      </w:tr>
    </w:tbl>
    <w:p w14:paraId="769F273C" w14:textId="77777777" w:rsidR="00FD4851" w:rsidRDefault="00FD4851">
      <w:pPr>
        <w:spacing w:after="0"/>
      </w:pPr>
    </w:p>
    <w:p w14:paraId="52B113F2" w14:textId="77777777" w:rsidR="00FD4851" w:rsidRDefault="001D4BCF">
      <w:pPr>
        <w:spacing w:line="240" w:lineRule="auto"/>
        <w:jc w:val="both"/>
      </w:pPr>
      <w:r>
        <w:t xml:space="preserve">Najveće povećanje stavke rashoda je na ovoj poziciji zateznih kamata (1548,1%) iz razloga plaćenih dvaju računa za obračun zateznih </w:t>
      </w:r>
      <w:r>
        <w:t>kamata u prvih devet mjeseci 2025.godine, dok istih većih rashoda u prethodnoj godini nije bilo.</w:t>
      </w:r>
    </w:p>
    <w:p w14:paraId="6E56FB29" w14:textId="77777777" w:rsidR="00FD4851" w:rsidRDefault="00FD4851"/>
    <w:p w14:paraId="19EE4257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0C9A13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3D38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7C12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9FBD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E440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55EA0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012FF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FD4851" w14:paraId="73B4CB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FBA5AC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0F75E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2ADE2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998A1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6.263,77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52400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41.659,40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E6F6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665,1</w:t>
            </w:r>
          </w:p>
        </w:tc>
      </w:tr>
    </w:tbl>
    <w:p w14:paraId="79DFF0D1" w14:textId="77777777" w:rsidR="00FD4851" w:rsidRDefault="00FD4851">
      <w:pPr>
        <w:spacing w:after="0"/>
      </w:pPr>
    </w:p>
    <w:p w14:paraId="1F267C70" w14:textId="77777777" w:rsidR="00FD4851" w:rsidRDefault="001D4BCF">
      <w:pPr>
        <w:spacing w:line="240" w:lineRule="auto"/>
        <w:jc w:val="both"/>
      </w:pPr>
      <w:r>
        <w:t xml:space="preserve">Pod ostalim nespomenutim financijskim rashodima u 2025.godini povećanje od (665,1%) u odnosu na prethodnu godinu odnosi se na troškove provedenih lokalnih izbora u </w:t>
      </w:r>
      <w:r>
        <w:t xml:space="preserve">svibnju 2025.godine i to isplate naknada iz </w:t>
      </w:r>
      <w:proofErr w:type="spellStart"/>
      <w:r>
        <w:t>prorčauna</w:t>
      </w:r>
      <w:proofErr w:type="spellEnd"/>
      <w:r>
        <w:t xml:space="preserve"> za članove biračkih odbora, članove izbornog povjerenstva, te dio materijalnih troškova.</w:t>
      </w:r>
    </w:p>
    <w:p w14:paraId="22808791" w14:textId="77777777" w:rsidR="00FD4851" w:rsidRDefault="00FD4851"/>
    <w:p w14:paraId="37DD85F7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3D76A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6928B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C32C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5A40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2C4A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E731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2E77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234159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95D6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F03A0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E74E1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6DC3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12.990,00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3BFDC7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19.114,79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3B19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147,2</w:t>
            </w:r>
          </w:p>
        </w:tc>
      </w:tr>
    </w:tbl>
    <w:p w14:paraId="1D24CCE5" w14:textId="77777777" w:rsidR="00FD4851" w:rsidRDefault="00FD4851">
      <w:pPr>
        <w:spacing w:after="0"/>
      </w:pPr>
    </w:p>
    <w:p w14:paraId="27D52C35" w14:textId="77777777" w:rsidR="00FD4851" w:rsidRDefault="001D4BCF">
      <w:pPr>
        <w:spacing w:line="240" w:lineRule="auto"/>
        <w:jc w:val="both"/>
      </w:pPr>
      <w:r>
        <w:t xml:space="preserve">Rashodi - subvencije u prvih devet mjeseci 2025.godine veći su (147,2%) u odnosu na iste rashode u prvih devet mjeseci </w:t>
      </w:r>
      <w:r>
        <w:t>2024.godine. Sve kategorije u ovoj skupini računa bilježe povećanje u promatranom razdoblju, a pojašnjenja su opisana za svaku stavku pojedinačno.</w:t>
      </w:r>
    </w:p>
    <w:p w14:paraId="380DBDE1" w14:textId="77777777" w:rsidR="00FD4851" w:rsidRDefault="00FD4851"/>
    <w:p w14:paraId="023A254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36C532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B5B62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1A562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671DE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2DD0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5C1F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</w:t>
            </w:r>
            <w:r>
              <w:rPr>
                <w:b/>
                <w:sz w:val="18"/>
              </w:rPr>
              <w:t>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BFD11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550317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33103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020FC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3500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2127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4BCEC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2.160,00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876D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1800</w:t>
            </w:r>
          </w:p>
        </w:tc>
      </w:tr>
    </w:tbl>
    <w:p w14:paraId="72AB5E27" w14:textId="77777777" w:rsidR="00FD4851" w:rsidRDefault="00FD4851">
      <w:pPr>
        <w:spacing w:after="0"/>
      </w:pPr>
    </w:p>
    <w:p w14:paraId="3347E785" w14:textId="77777777" w:rsidR="00FD4851" w:rsidRDefault="001D4BCF">
      <w:pPr>
        <w:spacing w:line="240" w:lineRule="auto"/>
        <w:jc w:val="both"/>
      </w:pPr>
      <w:r>
        <w:t xml:space="preserve">Šifra računa 3512 - subvencije trgovačkim društvima u javnom sektoru - ovaj rashod odnosi se na </w:t>
      </w:r>
      <w:r>
        <w:t>sufinanciranje boravka djece u dječjem vrtiću izvan područja općine, jer nije bilo mjesta u općinskom vrtiću, a općina im sufinancira boravak djece u vrtiću. U 2024.godini sufinanciranje je počelo tek krajem godine, pa je iz tog razloga puno manji iznos.</w:t>
      </w:r>
    </w:p>
    <w:p w14:paraId="68899BC7" w14:textId="77777777" w:rsidR="00FD4851" w:rsidRDefault="00FD4851"/>
    <w:p w14:paraId="0229FF8F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44FEC62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3DB16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CB3C1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E463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691EA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CA932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B79D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6CD0186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04F98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E643D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C5F3D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92DD1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12.870,00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CF7E2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16.954,79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8304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131,7</w:t>
            </w:r>
          </w:p>
        </w:tc>
      </w:tr>
    </w:tbl>
    <w:p w14:paraId="06446197" w14:textId="77777777" w:rsidR="00FD4851" w:rsidRDefault="00FD4851">
      <w:pPr>
        <w:spacing w:after="0"/>
      </w:pPr>
    </w:p>
    <w:p w14:paraId="0860863F" w14:textId="77777777" w:rsidR="00FD4851" w:rsidRDefault="001D4BCF">
      <w:pPr>
        <w:spacing w:line="240" w:lineRule="auto"/>
        <w:jc w:val="both"/>
      </w:pPr>
      <w:r>
        <w:t xml:space="preserve">Šifra </w:t>
      </w:r>
      <w:r>
        <w:t>računa 3523 - subvencije poljoprivrednicima i obrtnicima - povećanje ove stavke u 2025.godini odnosi se na isplate subvencija za poljoprivrednike - posjednike stoke povodom uskrsnih blagdana, a iznos je veći u odnosu na prethodnu godinu iz razloga većih iz</w:t>
      </w:r>
      <w:r>
        <w:t>nosa za isplatu po Odluci za 2025.godinu.</w:t>
      </w:r>
    </w:p>
    <w:p w14:paraId="7A0ACEB0" w14:textId="77777777" w:rsidR="00FD4851" w:rsidRDefault="00FD4851"/>
    <w:p w14:paraId="0BA831CC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638620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8B1C5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A855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AA86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CC82E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6334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A0B7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1380D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36E1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C4653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dane u inozemstvo i unutar općeg </w:t>
            </w:r>
            <w:r>
              <w:rPr>
                <w:sz w:val="18"/>
              </w:rPr>
              <w:t>proračuna (šifre 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6BD38A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EFF7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B6A1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318.418,80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304B2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14:paraId="5E7A770A" w14:textId="77777777" w:rsidR="00FD4851" w:rsidRDefault="00FD4851">
      <w:pPr>
        <w:spacing w:after="0"/>
      </w:pPr>
    </w:p>
    <w:p w14:paraId="1B359AD8" w14:textId="77777777" w:rsidR="00FD4851" w:rsidRDefault="001D4BCF">
      <w:pPr>
        <w:spacing w:line="240" w:lineRule="auto"/>
        <w:jc w:val="both"/>
      </w:pPr>
      <w:r>
        <w:t xml:space="preserve">Prijenosi proračunskim korisnicima iz nadležnog proračuna za financiranje rashoda poslovanja malo su veći nego prethodne godine, a odnose se na prijenose sredstava </w:t>
      </w:r>
      <w:r>
        <w:t>proračunskom korisniku za redovne troškove poslovanja prema mjesečnim zahtjevima.</w:t>
      </w:r>
    </w:p>
    <w:p w14:paraId="72821819" w14:textId="77777777" w:rsidR="00FD4851" w:rsidRDefault="00FD4851"/>
    <w:p w14:paraId="03E369C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66F7A7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5E948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7585B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989D6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DBF21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2CBC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B1257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70F7B1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DD7AA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B70B8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42BA2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EC17C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59DEC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318.418,80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C440D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125,8</w:t>
            </w:r>
          </w:p>
        </w:tc>
      </w:tr>
    </w:tbl>
    <w:p w14:paraId="697096D3" w14:textId="77777777" w:rsidR="00FD4851" w:rsidRDefault="00FD4851">
      <w:pPr>
        <w:spacing w:after="0"/>
      </w:pPr>
    </w:p>
    <w:p w14:paraId="1F570794" w14:textId="77777777" w:rsidR="00FD4851" w:rsidRDefault="001D4BCF">
      <w:pPr>
        <w:spacing w:line="240" w:lineRule="auto"/>
        <w:jc w:val="both"/>
      </w:pPr>
      <w:r>
        <w:t xml:space="preserve">Prijenosi proračunskim korisnicima iz nadležnog proračuna za financiranje rashoda poslovanja - ovi </w:t>
      </w:r>
      <w:r>
        <w:t>rashodi su nešto veći nego u istom razdoblju prethodne godine, a odnose se na prijenose sredstava proračunskom korisniku za redovne troškove poslovanja prema mjesečnim zahtjevima.</w:t>
      </w:r>
    </w:p>
    <w:p w14:paraId="68CA73F5" w14:textId="77777777" w:rsidR="00FD4851" w:rsidRDefault="00FD4851"/>
    <w:p w14:paraId="39CF6AE0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1839FC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3EA4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00DB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A465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889DE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1F09F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CD978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3765F9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A1C671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46801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ADD90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C1BE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32.154,18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76C9B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28.098,75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24C9F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87,4</w:t>
            </w:r>
          </w:p>
        </w:tc>
      </w:tr>
    </w:tbl>
    <w:p w14:paraId="5E284AF8" w14:textId="77777777" w:rsidR="00FD4851" w:rsidRDefault="00FD4851">
      <w:pPr>
        <w:spacing w:after="0"/>
      </w:pPr>
    </w:p>
    <w:p w14:paraId="4AD1063A" w14:textId="77777777" w:rsidR="00FD4851" w:rsidRDefault="001D4BCF">
      <w:pPr>
        <w:spacing w:line="240" w:lineRule="auto"/>
        <w:jc w:val="both"/>
      </w:pPr>
      <w:r>
        <w:lastRenderedPageBreak/>
        <w:t xml:space="preserve">Naknade građanima i kućanstvima u naravi - ovi rashodi manji su nego prethodne </w:t>
      </w:r>
      <w:r>
        <w:t>godine, a odnose se na objavljeni javni poziv mladim obiteljima za financijsku potporu prilikom kupnje ili adaptacije stambenog objekta, dok se u prethodnoj godini javio veći broj korisnika, pa je bio i isplaćen veći iznos.</w:t>
      </w:r>
    </w:p>
    <w:p w14:paraId="4FE8BBC2" w14:textId="77777777" w:rsidR="00FD4851" w:rsidRDefault="00FD4851"/>
    <w:p w14:paraId="2E77CF67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2936C3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C78A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8DC7D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8FBF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262F2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BECD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EAEA9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8D80D7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E508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9383A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DDA1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14379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253.298,90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A64FB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201.708,38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DC6F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79,6</w:t>
            </w:r>
          </w:p>
        </w:tc>
      </w:tr>
    </w:tbl>
    <w:p w14:paraId="63894633" w14:textId="77777777" w:rsidR="00FD4851" w:rsidRDefault="00FD4851">
      <w:pPr>
        <w:spacing w:after="0"/>
      </w:pPr>
    </w:p>
    <w:p w14:paraId="245706AB" w14:textId="77777777" w:rsidR="00FD4851" w:rsidRDefault="001D4BCF">
      <w:pPr>
        <w:spacing w:line="240" w:lineRule="auto"/>
        <w:jc w:val="both"/>
      </w:pPr>
      <w:r>
        <w:t>Na skupini računa 38 - rashodi za donacije - u prvih devet mjeseci 2025.godine isplaćena su manja sredstva prema udrugama građana, vatrogasnoj zajednici općine, dobrovoljnim vatrogasnim društvima, zajednici športskih udruga, Crvenom križu, HGSS-u, nego u i</w:t>
      </w:r>
      <w:r>
        <w:t>sto vrijeme prethodne godine.</w:t>
      </w:r>
    </w:p>
    <w:p w14:paraId="39A7966D" w14:textId="77777777" w:rsidR="00FD4851" w:rsidRDefault="00FD4851"/>
    <w:p w14:paraId="6D42B84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58352C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5409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C640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66C1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EC5D8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CCFB5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D2A5F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087C2D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F340B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06023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00D7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61500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795B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2.482,13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47C61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4B75F2" w14:textId="77777777" w:rsidR="00FD4851" w:rsidRDefault="00FD4851">
      <w:pPr>
        <w:spacing w:after="0"/>
      </w:pPr>
    </w:p>
    <w:p w14:paraId="40F8A0B4" w14:textId="77777777" w:rsidR="00FD4851" w:rsidRDefault="001D4BCF">
      <w:pPr>
        <w:spacing w:line="240" w:lineRule="auto"/>
        <w:jc w:val="both"/>
      </w:pPr>
      <w:r>
        <w:t xml:space="preserve">U </w:t>
      </w:r>
      <w:r>
        <w:t xml:space="preserve">2024.godini na ovom računu nisu bile knjižene donacije u naravi, dok se u 2025.godini prema uputama DUR-a određene isplate sredstava po računima  su </w:t>
      </w:r>
      <w:proofErr w:type="spellStart"/>
      <w:r>
        <w:t>prekontirale</w:t>
      </w:r>
      <w:proofErr w:type="spellEnd"/>
      <w:r>
        <w:t xml:space="preserve"> na konto  donacija u naravi.</w:t>
      </w:r>
    </w:p>
    <w:p w14:paraId="1D39E06D" w14:textId="77777777" w:rsidR="00FD4851" w:rsidRDefault="00FD4851"/>
    <w:p w14:paraId="50637091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062435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242A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370D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AD753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7DD1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</w:t>
            </w:r>
            <w:r>
              <w:rPr>
                <w:b/>
                <w:sz w:val="18"/>
              </w:rPr>
              <w:t>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A523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E1CA8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7A20118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1CA52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F8CA8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penali i naknade štete (šifre 3831 do 3835)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D313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D6FFD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1157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428CCB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B4E24D7" w14:textId="77777777" w:rsidR="00FD4851" w:rsidRDefault="00FD4851">
      <w:pPr>
        <w:spacing w:after="0"/>
      </w:pPr>
    </w:p>
    <w:p w14:paraId="3FE8250C" w14:textId="77777777" w:rsidR="00FD4851" w:rsidRDefault="001D4BCF">
      <w:pPr>
        <w:spacing w:line="240" w:lineRule="auto"/>
        <w:jc w:val="both"/>
      </w:pPr>
      <w:r>
        <w:t xml:space="preserve">Šifra računa 383 - </w:t>
      </w:r>
      <w:proofErr w:type="spellStart"/>
      <w:r>
        <w:t>kazne,penali</w:t>
      </w:r>
      <w:proofErr w:type="spellEnd"/>
      <w:r>
        <w:t xml:space="preserve"> i naknade štete - u prethodnoj godini </w:t>
      </w:r>
      <w:r>
        <w:t>isplata je bila izvršena za štetu od tuče na stambenim objektima prema jednoj fizičkoj osobi prilikom olujnog nevremena, dok istog rashoda u prvih devet mjeseci ove godine nije bilo.</w:t>
      </w:r>
    </w:p>
    <w:p w14:paraId="47E20823" w14:textId="77777777" w:rsidR="00FD4851" w:rsidRDefault="00FD4851"/>
    <w:p w14:paraId="455F0B32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lastRenderedPageBreak/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0398F6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D46E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D58ED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5AB2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145B0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4DD2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60C0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37DF04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A44E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A1BF6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Zemljište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38FE2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7B044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6.350,91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60A13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14968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39,9</w:t>
            </w:r>
          </w:p>
        </w:tc>
      </w:tr>
    </w:tbl>
    <w:p w14:paraId="01CB8EDA" w14:textId="77777777" w:rsidR="00FD4851" w:rsidRDefault="00FD4851">
      <w:pPr>
        <w:spacing w:after="0"/>
      </w:pPr>
    </w:p>
    <w:p w14:paraId="7933E382" w14:textId="77777777" w:rsidR="00FD4851" w:rsidRDefault="001D4BCF">
      <w:pPr>
        <w:spacing w:line="240" w:lineRule="auto"/>
        <w:jc w:val="both"/>
      </w:pPr>
      <w:r>
        <w:t xml:space="preserve">Na ovoj stavci prihoda od prodaje </w:t>
      </w:r>
      <w:proofErr w:type="spellStart"/>
      <w:r>
        <w:t>neproizvedene</w:t>
      </w:r>
      <w:proofErr w:type="spellEnd"/>
      <w:r>
        <w:t xml:space="preserve"> dugotrajne imovine manji su prihodi u 2025.godini iz razloga većih </w:t>
      </w:r>
      <w:r>
        <w:t>prihoda od prodaje poljoprivrednog zemljišta u vlasništvu RH izravnom pogodbom više fizičkih osoba, te prodaje građevinskih zemljišta u vlasništvu općine fizičkim osobama u 2024.godini.</w:t>
      </w:r>
    </w:p>
    <w:p w14:paraId="56ABF9C6" w14:textId="77777777" w:rsidR="00FD4851" w:rsidRDefault="00FD4851"/>
    <w:p w14:paraId="1E9A01F7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765563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A1CD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0980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61CE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600FF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50E06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BDA45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60CD551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CADEE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D66C9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10651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3492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365.551,44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1AF5C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1.265.472,50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53902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346,2</w:t>
            </w:r>
          </w:p>
        </w:tc>
      </w:tr>
    </w:tbl>
    <w:p w14:paraId="404582E2" w14:textId="77777777" w:rsidR="00FD4851" w:rsidRDefault="00FD4851">
      <w:pPr>
        <w:spacing w:after="0"/>
      </w:pPr>
    </w:p>
    <w:p w14:paraId="45BAEECB" w14:textId="77777777" w:rsidR="00FD4851" w:rsidRDefault="001D4BCF">
      <w:pPr>
        <w:spacing w:line="240" w:lineRule="auto"/>
        <w:jc w:val="both"/>
      </w:pPr>
      <w:r>
        <w:t xml:space="preserve">Šifra računa 421 - građevinski objekti - ovi rashodi su veći u </w:t>
      </w:r>
      <w:r>
        <w:t>odnosu na rashode za isto razdoblje prethodne godine, a odnose se na poslovne objekte i ceste (pojašnjenje se nalazi pojedinačno uz svaki konto).</w:t>
      </w:r>
    </w:p>
    <w:p w14:paraId="2F67C1A8" w14:textId="77777777" w:rsidR="00FD4851" w:rsidRDefault="00FD4851"/>
    <w:p w14:paraId="3A7D10B0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534F74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614C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875F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21F31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8D23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26503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12B8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47DEE8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063A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3C5B6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8A8449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01BB8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121.358,76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837D0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945.624,74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5FAF8F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779,2</w:t>
            </w:r>
          </w:p>
        </w:tc>
      </w:tr>
    </w:tbl>
    <w:p w14:paraId="4D7BF209" w14:textId="77777777" w:rsidR="00FD4851" w:rsidRDefault="00FD4851">
      <w:pPr>
        <w:spacing w:after="0"/>
      </w:pPr>
    </w:p>
    <w:p w14:paraId="27011804" w14:textId="77777777" w:rsidR="00FD4851" w:rsidRDefault="001D4BCF">
      <w:pPr>
        <w:spacing w:line="240" w:lineRule="auto"/>
        <w:jc w:val="both"/>
      </w:pPr>
      <w:r>
        <w:t xml:space="preserve">Na računu 4212 - poslovni objekti - veće odstupanje u odnosu na isto razdoblje prethodne godine, a odnosi se na izvedene radove na </w:t>
      </w:r>
      <w:r>
        <w:t>gradnji građevine doma za dnevni boravak starijih osoba sa smještajnim jedinicama, dogradnju dječjeg vrtića, te radove na rekonstrukciji i opremanju igrališta za mali nogomet i košarku u jednom mjesnom odboru. U 2024.godini izdaci se odnose samo na dio gra</w:t>
      </w:r>
      <w:r>
        <w:t>đevinskih radova na domu za dnevni boravak i na dogradnji dječjeg vrtića.</w:t>
      </w:r>
    </w:p>
    <w:p w14:paraId="700315A3" w14:textId="77777777" w:rsidR="00FD4851" w:rsidRDefault="00FD4851"/>
    <w:p w14:paraId="4161F34B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2C24EB6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F5F6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BD015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E91C2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AE5C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CFD2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9559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568315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6AF3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5BEB87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Ceste, </w:t>
            </w:r>
            <w:r>
              <w:rPr>
                <w:sz w:val="18"/>
              </w:rPr>
              <w:t>željeznice i ostali 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67762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2BB2E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141.306,74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7ACC0A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297.285,52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27519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210,4</w:t>
            </w:r>
          </w:p>
        </w:tc>
      </w:tr>
    </w:tbl>
    <w:p w14:paraId="7DD40C6C" w14:textId="77777777" w:rsidR="00FD4851" w:rsidRDefault="00FD4851">
      <w:pPr>
        <w:spacing w:after="0"/>
      </w:pPr>
    </w:p>
    <w:p w14:paraId="4AED7DF3" w14:textId="77777777" w:rsidR="00FD4851" w:rsidRDefault="001D4BCF">
      <w:pPr>
        <w:spacing w:line="240" w:lineRule="auto"/>
        <w:jc w:val="both"/>
      </w:pPr>
      <w:r>
        <w:lastRenderedPageBreak/>
        <w:t xml:space="preserve">Na ovom računu je također odstupanje (210,4%) u odnosu na prethodnu godinu, a odnosi se na završetak radova na građenju prometnice UK4 i UK6 sa parkiralištem u Svetom Đurđu, zatim </w:t>
      </w:r>
      <w:r>
        <w:t>asfaltiranje ceste ispred jednog vatrogasnog spremišta, te uređenje cestovne odvodnje na županijskoj cesti u jednom mjesnom odboru. U 2024.godini rashodi su bili izvedeni u manjem dijelu i to samo na asfaltiranju prometnice UK4 i UK6.</w:t>
      </w:r>
    </w:p>
    <w:p w14:paraId="1405B0B7" w14:textId="77777777" w:rsidR="00FD4851" w:rsidRDefault="00FD4851"/>
    <w:p w14:paraId="3959235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35F982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AE7A2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216E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8617E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FCD4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3579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C4262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7317FE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1EFF9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3FA4B1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9DB83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B0423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102.885,94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8F6F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22.562,24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8654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21,9</w:t>
            </w:r>
          </w:p>
        </w:tc>
      </w:tr>
    </w:tbl>
    <w:p w14:paraId="11047C1D" w14:textId="77777777" w:rsidR="00FD4851" w:rsidRDefault="00FD4851">
      <w:pPr>
        <w:spacing w:after="0"/>
      </w:pPr>
    </w:p>
    <w:p w14:paraId="741A2B0A" w14:textId="77777777" w:rsidR="00FD4851" w:rsidRDefault="001D4BCF">
      <w:pPr>
        <w:spacing w:line="240" w:lineRule="auto"/>
        <w:jc w:val="both"/>
      </w:pPr>
      <w:r>
        <w:t xml:space="preserve">Na ovom računu rashodi u 2024.godini </w:t>
      </w:r>
      <w:r>
        <w:t>odnose se na građevinske radove na rekonstrukciji zgrade društvenog doma u jednom mjesnom odboru, dok je u prvoj polovici 2025.godine bio samo manji iznos  okončane situacije za navedene radove.</w:t>
      </w:r>
    </w:p>
    <w:p w14:paraId="2AF21BEA" w14:textId="77777777" w:rsidR="00FD4851" w:rsidRDefault="00FD4851"/>
    <w:p w14:paraId="2525AE76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14DA20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29F2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C0CDD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6C60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0777C6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8AA53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046D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58947D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289CD5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55AB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46E9D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84B2A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40.407,31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C634D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17.565,81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E6E2B7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43,5</w:t>
            </w:r>
          </w:p>
        </w:tc>
      </w:tr>
    </w:tbl>
    <w:p w14:paraId="53AF6887" w14:textId="77777777" w:rsidR="00FD4851" w:rsidRDefault="00FD4851">
      <w:pPr>
        <w:spacing w:after="0"/>
      </w:pPr>
    </w:p>
    <w:p w14:paraId="0B49D9D0" w14:textId="77777777" w:rsidR="00FD4851" w:rsidRDefault="001D4BCF">
      <w:pPr>
        <w:spacing w:line="240" w:lineRule="auto"/>
        <w:jc w:val="both"/>
      </w:pPr>
      <w:r>
        <w:t xml:space="preserve">Na računu 422 - postrojenja i oprema - ostvareni su manji rashodi u </w:t>
      </w:r>
      <w:r>
        <w:t>odnosu na isto razdoblje prethodne godine, jer je bilo više nabavke opreme i namještaja u 2024.godini nego u prvih devet mjeseci 2025.godine.</w:t>
      </w:r>
    </w:p>
    <w:p w14:paraId="2B35C114" w14:textId="77777777" w:rsidR="00FD4851" w:rsidRDefault="00FD4851"/>
    <w:p w14:paraId="483CDEC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475A7F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3C43B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E131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EB310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873F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6581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</w:t>
            </w:r>
            <w:r>
              <w:rPr>
                <w:b/>
                <w:sz w:val="18"/>
              </w:rPr>
              <w:t>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8E90E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309E8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6922B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B2703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87935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2D6F7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12.649,60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AEF4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1.352,46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5AE4D7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10,7</w:t>
            </w:r>
          </w:p>
        </w:tc>
      </w:tr>
    </w:tbl>
    <w:p w14:paraId="2E31A1CD" w14:textId="77777777" w:rsidR="00FD4851" w:rsidRDefault="00FD4851">
      <w:pPr>
        <w:spacing w:after="0"/>
      </w:pPr>
    </w:p>
    <w:p w14:paraId="41190FD7" w14:textId="77777777" w:rsidR="00FD4851" w:rsidRDefault="001D4BCF">
      <w:pPr>
        <w:spacing w:line="240" w:lineRule="auto"/>
        <w:jc w:val="both"/>
      </w:pPr>
      <w:r>
        <w:t>Od uredske opreme u prvih devet mjeseci 2025.godine nabavljeno je samo jedno računalo za ured općine (vježbenik).</w:t>
      </w:r>
    </w:p>
    <w:p w14:paraId="798177D4" w14:textId="77777777" w:rsidR="00FD4851" w:rsidRDefault="00FD4851"/>
    <w:p w14:paraId="76DF0037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lastRenderedPageBreak/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42C77D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18361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FF0C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25467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CBE8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5706C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6A7F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02B87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594B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F742B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C83C1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B5A8E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4.038,48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E67E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4368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9,0</w:t>
            </w:r>
          </w:p>
        </w:tc>
      </w:tr>
    </w:tbl>
    <w:p w14:paraId="20F8DE90" w14:textId="77777777" w:rsidR="00FD4851" w:rsidRDefault="00FD4851">
      <w:pPr>
        <w:spacing w:after="0"/>
      </w:pPr>
    </w:p>
    <w:p w14:paraId="067EF73C" w14:textId="77777777" w:rsidR="00FD4851" w:rsidRDefault="001D4BCF">
      <w:pPr>
        <w:spacing w:line="240" w:lineRule="auto"/>
        <w:jc w:val="both"/>
      </w:pPr>
      <w:r>
        <w:t xml:space="preserve">Na ovom računu nalazi se nabava u </w:t>
      </w:r>
      <w:r>
        <w:t>2025.godini jednog klima uređaja za prostorije općine.</w:t>
      </w:r>
    </w:p>
    <w:p w14:paraId="4FDF6E25" w14:textId="77777777" w:rsidR="00FD4851" w:rsidRDefault="00FD4851"/>
    <w:p w14:paraId="499167DE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2C515D6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4A951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46DE0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0E61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7227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23EF2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58C3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241B9C2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78BAB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0D6B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strojevi i </w:t>
            </w:r>
            <w:r>
              <w:rPr>
                <w:sz w:val="18"/>
              </w:rPr>
              <w:t>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597C66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063A0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20.440,94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EE2598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15.848,85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51176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77,5</w:t>
            </w:r>
          </w:p>
        </w:tc>
      </w:tr>
    </w:tbl>
    <w:p w14:paraId="52427E86" w14:textId="77777777" w:rsidR="00FD4851" w:rsidRDefault="00FD4851">
      <w:pPr>
        <w:spacing w:after="0"/>
      </w:pPr>
    </w:p>
    <w:p w14:paraId="5BFCCC45" w14:textId="77777777" w:rsidR="00FD4851" w:rsidRDefault="001D4BCF">
      <w:pPr>
        <w:spacing w:line="240" w:lineRule="auto"/>
        <w:jc w:val="both"/>
      </w:pPr>
      <w:r>
        <w:t xml:space="preserve">Na računu 4227 - nalaze se izdaci za nabavu kosilice traktorske </w:t>
      </w:r>
      <w:proofErr w:type="spellStart"/>
      <w:r>
        <w:t>Rider</w:t>
      </w:r>
      <w:proofErr w:type="spellEnd"/>
      <w:r>
        <w:t xml:space="preserve"> u 2025.godini, te opreme za opremanje dograđenog dijela dječjeg vrtića.</w:t>
      </w:r>
    </w:p>
    <w:p w14:paraId="0C355AFF" w14:textId="77777777" w:rsidR="00FD4851" w:rsidRDefault="00FD4851"/>
    <w:p w14:paraId="75F099A3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15BAE73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42FA7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FE253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A795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3E141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5782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EE95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15CE08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458B7D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051813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Umjetnička, literarna i znanstvena djela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794654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8BCB8D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C9B30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AA7EC4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176,5</w:t>
            </w:r>
          </w:p>
        </w:tc>
      </w:tr>
    </w:tbl>
    <w:p w14:paraId="1C284A60" w14:textId="77777777" w:rsidR="00FD4851" w:rsidRDefault="00FD4851">
      <w:pPr>
        <w:spacing w:after="0"/>
      </w:pPr>
    </w:p>
    <w:p w14:paraId="50BA09BC" w14:textId="77777777" w:rsidR="00FD4851" w:rsidRDefault="001D4BCF">
      <w:pPr>
        <w:spacing w:line="240" w:lineRule="auto"/>
        <w:jc w:val="both"/>
      </w:pPr>
      <w:r>
        <w:t xml:space="preserve">Rashod na ovom računu u 2024.godini odnosi se na V. izmjene i </w:t>
      </w:r>
      <w:r>
        <w:t>dopune prostornog plana općine po fazama izrade, a u 2025.godini iznos od 9.000,00 eura odnosi se na I. izmjene i dopune Urbanističkog plana općine prema sklopljenom Ugovoru.</w:t>
      </w:r>
    </w:p>
    <w:p w14:paraId="0C14485E" w14:textId="77777777" w:rsidR="00FD4851" w:rsidRDefault="00FD4851"/>
    <w:p w14:paraId="0128F42D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59.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1BCEF8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C1467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773C9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1A61E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EC904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</w:t>
            </w:r>
            <w:r>
              <w:rPr>
                <w:b/>
                <w:sz w:val="18"/>
              </w:rPr>
              <w:t>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2874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C8D2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A1A11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A3F82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D342EE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BB831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A1195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1.041.307,01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57097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743.279,25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3A7D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71,4</w:t>
            </w:r>
          </w:p>
        </w:tc>
      </w:tr>
    </w:tbl>
    <w:p w14:paraId="252FC8B6" w14:textId="77777777" w:rsidR="00FD4851" w:rsidRDefault="00FD4851">
      <w:pPr>
        <w:spacing w:after="0"/>
      </w:pPr>
    </w:p>
    <w:p w14:paraId="3533A664" w14:textId="77777777" w:rsidR="00FD4851" w:rsidRDefault="001D4BCF">
      <w:pPr>
        <w:spacing w:line="240" w:lineRule="auto"/>
        <w:jc w:val="both"/>
      </w:pPr>
      <w:r>
        <w:t xml:space="preserve">Višak prihoda i </w:t>
      </w:r>
      <w:r>
        <w:t>primitaka preneseni iz prethodne godine veći je u odnosu na 2024.godinu.</w:t>
      </w:r>
    </w:p>
    <w:p w14:paraId="19830D9E" w14:textId="77777777" w:rsidR="00FD4851" w:rsidRDefault="00FD4851"/>
    <w:p w14:paraId="53AE1E38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lastRenderedPageBreak/>
        <w:t>Bilješka 60.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D4851" w14:paraId="42C19A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A308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53B6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4E8BD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5159FA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591F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ED1815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03ECCF5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4A1A93" w14:textId="77777777" w:rsidR="00FD4851" w:rsidRDefault="00FD48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EA4A9F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</w:t>
            </w:r>
            <w:r>
              <w:rPr>
                <w:sz w:val="18"/>
              </w:rPr>
              <w:t>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DB211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51D33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901.975,31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E245E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191.064,37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5E0C5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21,2</w:t>
            </w:r>
          </w:p>
        </w:tc>
      </w:tr>
    </w:tbl>
    <w:p w14:paraId="2EDC0EE8" w14:textId="77777777" w:rsidR="00FD4851" w:rsidRDefault="00FD4851">
      <w:pPr>
        <w:spacing w:after="0"/>
      </w:pPr>
    </w:p>
    <w:p w14:paraId="4B34B83E" w14:textId="77777777" w:rsidR="00FD4851" w:rsidRDefault="001D4BCF">
      <w:pPr>
        <w:spacing w:line="240" w:lineRule="auto"/>
        <w:jc w:val="both"/>
      </w:pPr>
      <w:r>
        <w:t>Ukupni rezultat poslovanja na kraju obračunskog razdoblja je višak prihoda i primitaka u iznosu od 191.064,37 eura.</w:t>
      </w:r>
    </w:p>
    <w:p w14:paraId="408CF3D2" w14:textId="77777777" w:rsidR="00FD4851" w:rsidRDefault="00FD4851"/>
    <w:p w14:paraId="7A729C32" w14:textId="77777777" w:rsidR="00FD4851" w:rsidRDefault="001D4BCF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19DF335C" w14:textId="77777777" w:rsidR="00FD4851" w:rsidRDefault="001D4BCF">
      <w:pPr>
        <w:keepNext/>
        <w:spacing w:line="240" w:lineRule="auto"/>
        <w:jc w:val="center"/>
      </w:pPr>
      <w:r>
        <w:rPr>
          <w:sz w:val="28"/>
        </w:rPr>
        <w:t>Bilješka 61.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D4851" w14:paraId="6A00E0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C21A61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7AB96F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881A8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2FBE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876A2B" w14:textId="77777777" w:rsidR="00FD4851" w:rsidRDefault="001D4BCF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D4851" w14:paraId="743820E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C257EA" w14:textId="77777777" w:rsidR="00FD4851" w:rsidRDefault="00FD48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B38818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78E3A0" w14:textId="77777777" w:rsidR="00FD4851" w:rsidRDefault="001D4BCF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141F9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111.818,14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0CC6EC" w14:textId="77777777" w:rsidR="00FD4851" w:rsidRDefault="001D4BCF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541218" w14:textId="77777777" w:rsidR="00FD4851" w:rsidRDefault="00FD4851">
      <w:pPr>
        <w:spacing w:after="0"/>
      </w:pPr>
    </w:p>
    <w:p w14:paraId="3C46EF12" w14:textId="77777777" w:rsidR="00FD4851" w:rsidRDefault="001D4BCF">
      <w:pPr>
        <w:spacing w:line="240" w:lineRule="auto"/>
        <w:jc w:val="both"/>
      </w:pPr>
      <w:r>
        <w:t xml:space="preserve">Stanje dospjelih obveza na kraju </w:t>
      </w:r>
      <w:r>
        <w:t>devetomjesečnog razdoblja iznosi 111.818,14 eura, a rezultat je raskoraka u dinamici ostvarenja prihoda u odnosu na dospjele obveze. Navedene dospjele obveze podmirene su početkom listopada po ostvarenju prihoda.</w:t>
      </w:r>
    </w:p>
    <w:p w14:paraId="084E62E7" w14:textId="77777777" w:rsidR="00FD4851" w:rsidRDefault="00FD4851"/>
    <w:sectPr w:rsidR="00FD48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851"/>
    <w:rsid w:val="001D4BCF"/>
    <w:rsid w:val="00FD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7DE6"/>
  <w15:docId w15:val="{986F0950-B1D6-4D99-8B44-4922099FC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4901</Words>
  <Characters>27937</Characters>
  <Application>Microsoft Office Word</Application>
  <DocSecurity>0</DocSecurity>
  <Lines>232</Lines>
  <Paragraphs>65</Paragraphs>
  <ScaleCrop>false</ScaleCrop>
  <Company/>
  <LinksUpToDate>false</LinksUpToDate>
  <CharactersWithSpaces>32773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Win11</cp:lastModifiedBy>
  <cp:revision>2</cp:revision>
  <cp:lastPrinted>2025-10-10T06:21:00Z</cp:lastPrinted>
  <dcterms:created xsi:type="dcterms:W3CDTF">2025-10-10T06:21:00Z</dcterms:created>
  <dcterms:modified xsi:type="dcterms:W3CDTF">2025-10-10T06:21:00Z</dcterms:modified>
</cp:coreProperties>
</file>