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val="en-US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VARAŽDINSKA ŽUPANIJA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noProof w:val="1"/>
          <w:sz w:val="24"/>
        </w:rPr>
        <w:t>Općina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Sveti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Đurđ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bookmarkStart w:id="0" w:name="_GoBack"/>
      <w:r>
        <w:rPr>
          <w:rFonts w:ascii="Times New Roman" w:hAnsi="Times New Roman"/>
          <w:b w:val="1"/>
          <w:noProof w:val="1"/>
          <w:sz w:val="24"/>
        </w:rPr>
        <w:t>Općinsko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vijeće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bookmarkEnd w:id="0"/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</w:rPr>
        <w:t>400-02/25-01/8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 w:val="1"/>
          <w:sz w:val="24"/>
        </w:rPr>
        <w:t>2186-21-02-25-1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sz w:val="24"/>
        </w:rPr>
        <w:t xml:space="preserve">Sveti Đurđ, </w:t>
      </w:r>
      <w:r>
        <w:rPr>
          <w:rFonts w:ascii="Times New Roman" w:hAnsi="Times New Roman"/>
          <w:noProof w:val="1"/>
          <w:sz w:val="24"/>
        </w:rPr>
        <w:t>22</w:t>
      </w:r>
      <w:r>
        <w:rPr>
          <w:rFonts w:ascii="Times New Roman" w:hAnsi="Times New Roman"/>
          <w:noProof w:val="1"/>
          <w:sz w:val="24"/>
        </w:rPr>
        <w:t>.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prosinca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sz w:val="24"/>
        </w:rPr>
        <w:t>2025.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widowControl w:val="0"/>
        <w:bidi w:val="0"/>
        <w:jc w:val="both"/>
        <w:spacing w:lineRule="auto" w:line="240"/>
        <w:ind w:firstLine="720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Na temelju članka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18. stavka 1.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 Zakona o proračunu („Narodne novine“, broj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144/21.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) i članka 22. Statuta Općine Sveti Đurđ („Službeni vjesnik Varaždinske županije“, broj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30/21. i 18/23.),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Općinsko vijeć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e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 Općine Sveti Đurđ na svojoj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 5. sjednici održanoj dana 22.12.2025.godine, donosi</w:t>
      </w:r>
    </w:p>
    <w:p>
      <w:pPr>
        <w:widowControl w:val="0"/>
        <w:bidi w:val="0"/>
        <w:jc w:val="both"/>
        <w:spacing w:lineRule="auto" w:line="240" w:after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</w:p>
    <w:p>
      <w:pPr>
        <w:widowControl w:val="0"/>
        <w:bidi w:val="0"/>
        <w:jc w:val="center"/>
        <w:spacing w:lineRule="auto" w:line="240" w:after="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ODLUKU</w:t>
      </w:r>
    </w:p>
    <w:p>
      <w:pPr>
        <w:widowControl w:val="0"/>
        <w:bidi w:val="0"/>
        <w:jc w:val="center"/>
        <w:spacing w:lineRule="auto" w:line="240" w:after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o izvršenju Proračuna Općine Sveti Đurđ za 202</w:t>
      </w: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6. godinu</w:t>
      </w:r>
    </w:p>
    <w:p>
      <w:pPr>
        <w:widowControl w:val="0"/>
        <w:bidi w:val="0"/>
        <w:jc w:val="both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</w:p>
    <w:p>
      <w:pPr>
        <w:widowControl w:val="0"/>
        <w:bidi w:val="0"/>
        <w:jc w:val="both"/>
        <w:spacing w:lineRule="auto" w:line="24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I.  OPĆE ODREDBE</w:t>
      </w:r>
    </w:p>
    <w:p>
      <w:pPr>
        <w:widowControl w:val="0"/>
        <w:bidi w:val="0"/>
        <w:jc w:val="center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Članak 1.</w:t>
      </w:r>
    </w:p>
    <w:p>
      <w:pPr>
        <w:widowControl w:val="0"/>
        <w:bidi w:val="0"/>
        <w:jc w:val="both"/>
        <w:spacing w:lineRule="auto" w:line="240"/>
        <w:ind w:firstLine="708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Ovom Odlukom uređuje se struktura prihoda i primitaka te rashoda i izdataka Proračuna Općine Sveti Đurđ (u daljnjem tekstu: Općina), njegovo izvršavanje, opseg zaduživanja i jamstva, upravljanje dugom, financijskom i nefinancijskom imovinom, prava i obveze proračunskih korisnika, kao i pojedine ovlasti Općinskog načelnika Općine Sveti Đurđ (u daljnjem tekstu: Općinski načelnik), te druga pitanja u izvršavanju Proračuna Općine (u daljnjem tekstu: Proračun).</w:t>
      </w:r>
    </w:p>
    <w:p>
      <w:pPr>
        <w:widowControl w:val="0"/>
        <w:bidi w:val="0"/>
        <w:jc w:val="center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Članak 2.</w:t>
      </w:r>
    </w:p>
    <w:p>
      <w:pPr>
        <w:widowControl w:val="0"/>
        <w:bidi w:val="0"/>
        <w:jc w:val="both"/>
        <w:spacing w:lineRule="auto" w:line="240"/>
        <w:ind w:firstLine="709" w:left="0" w:right="-6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Proračun se sastoji od Općeg i Posebnog dije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la.</w:t>
      </w:r>
    </w:p>
    <w:p>
      <w:pPr>
        <w:widowControl w:val="0"/>
        <w:bidi w:val="0"/>
        <w:jc w:val="both"/>
        <w:spacing w:lineRule="auto" w:line="240"/>
        <w:ind w:firstLine="709" w:left="0" w:right="-6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Opći dio Proračuna čini Račun prihoda i rashoda i Račun financiranja.</w:t>
      </w:r>
    </w:p>
    <w:p>
      <w:pPr>
        <w:widowControl w:val="0"/>
        <w:bidi w:val="0"/>
        <w:jc w:val="both"/>
        <w:spacing w:lineRule="auto" w:line="240"/>
        <w:ind w:firstLine="708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Račun prihoda i rashoda iskazani su prihodi poslovanja i prihodi od prodaje nefinancijske imovine, te rashodi poslovanja i rashodi za nabavu nefinancijske imovine.</w:t>
      </w:r>
    </w:p>
    <w:p>
      <w:pPr>
        <w:widowControl w:val="0"/>
        <w:bidi w:val="0"/>
        <w:jc w:val="both"/>
        <w:spacing w:lineRule="auto" w:line="240"/>
        <w:ind w:firstLine="708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U Računu financiranja iskazani su primici od financijske imovine i primljeni krediti, te izdaci za financijsku imovinu i otplatu kredita.</w:t>
      </w:r>
    </w:p>
    <w:p>
      <w:pPr>
        <w:widowControl w:val="0"/>
        <w:bidi w:val="0"/>
        <w:jc w:val="both"/>
        <w:spacing w:lineRule="auto" w:line="240"/>
        <w:ind w:left="70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Posebni dio Proračuna sastoji se od Plana rashoda i izdataka proračunskih korisnika.</w:t>
      </w:r>
    </w:p>
    <w:p>
      <w:pPr>
        <w:widowControl w:val="0"/>
        <w:bidi w:val="0"/>
        <w:jc w:val="center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Članak 3.</w:t>
      </w:r>
    </w:p>
    <w:p>
      <w:pPr>
        <w:widowControl w:val="0"/>
        <w:bidi w:val="0"/>
        <w:jc w:val="both"/>
        <w:spacing w:lineRule="auto" w:line="240"/>
        <w:ind w:firstLine="708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Ako se tijekom godine usvoje zakoni i drugi propisi ili programi na osnovi kojih nastaju nove obveze za Proračun, sredstva će se osigurati u Proračunu za slijedeću proračunsku godinu.</w:t>
      </w:r>
    </w:p>
    <w:p>
      <w:pPr>
        <w:widowControl w:val="0"/>
        <w:bidi w:val="0"/>
        <w:jc w:val="both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</w:p>
    <w:p>
      <w:pPr>
        <w:widowControl w:val="0"/>
        <w:bidi w:val="0"/>
        <w:jc w:val="both"/>
        <w:spacing w:lineRule="auto" w:line="24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II.  IZVRŠAVANJE PRORAČUNA</w:t>
      </w:r>
    </w:p>
    <w:p>
      <w:pPr>
        <w:widowControl w:val="0"/>
        <w:bidi w:val="0"/>
        <w:jc w:val="center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Članak 4.</w:t>
      </w:r>
    </w:p>
    <w:p>
      <w:pPr>
        <w:widowControl w:val="0"/>
        <w:bidi w:val="0"/>
        <w:jc w:val="left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ab/>
        <w:t xml:space="preserve">Sredstva za rashode i izdatke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 proračunskog korisnika osiguravaju se u Proračunu Općine Sveti Đurđ, a realiziraju se sukladno dinamici ostvarivanja planiranih prihoda.</w:t>
      </w:r>
    </w:p>
    <w:p>
      <w:pPr>
        <w:widowControl w:val="0"/>
        <w:bidi w:val="0"/>
        <w:jc w:val="left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ab/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Proračunski korisnik Proračuna Općine Sveti Đurđ je Dječji vrtić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 „Suncokret“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 Sveti Đurđ.</w:t>
      </w:r>
    </w:p>
    <w:p>
      <w:pPr>
        <w:widowControl w:val="0"/>
        <w:bidi w:val="0"/>
        <w:jc w:val="left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ab/>
        <w:t xml:space="preserve">Rukovoditelj proračunskog korisnika dužan je proračunska sredstva koristiti isključivo namjenski, zakonito, učinkovito i ekonomično te kvartalno dostavljati financijsko izvješće o njihovom utrošku Jedinstvenom upravnom odjelu Općine.</w:t>
      </w:r>
    </w:p>
    <w:p>
      <w:pPr>
        <w:widowControl w:val="0"/>
        <w:bidi w:val="0"/>
        <w:jc w:val="left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ab/>
        <w:t xml:space="preserve">Na zahtjev Općine Sveti Đurđ rukovoditelj proračunsko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g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 korisnika dužan je omogućiti uvid u cjelokupno poslovanje i svu raspoloživu dokumentaciju Jedinstvenom upravnom odjelu Općine Sveti Đurđ.</w:t>
      </w:r>
    </w:p>
    <w:p>
      <w:pPr>
        <w:widowControl w:val="0"/>
        <w:bidi w:val="0"/>
        <w:jc w:val="both"/>
        <w:spacing w:lineRule="auto" w:line="240"/>
        <w:ind w:left="68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Stvarna naplata prihoda nije ograničena procjenom u Proračunu.</w:t>
      </w:r>
    </w:p>
    <w:p>
      <w:pPr>
        <w:widowControl w:val="0"/>
        <w:bidi w:val="0"/>
        <w:jc w:val="both"/>
        <w:spacing w:lineRule="auto" w:line="240"/>
        <w:ind w:firstLine="679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Sredstva se u Proračunu osiguravaju proračunskim korisnicima koji su u njegovom Posebnom dijelu određeni za nositelje sredstava po pojedinim pozicijama.</w:t>
      </w:r>
    </w:p>
    <w:p>
      <w:pPr>
        <w:widowControl w:val="0"/>
        <w:bidi w:val="0"/>
        <w:jc w:val="both"/>
        <w:spacing w:lineRule="auto" w:line="240"/>
        <w:ind w:firstLine="679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Proračunska sredstva koristiti će se samo za namjene koje su određene Proračunom, i to do visine utvrđene u njegovom Posebnom dijelu.</w:t>
      </w:r>
    </w:p>
    <w:p>
      <w:pPr>
        <w:widowControl w:val="0"/>
        <w:bidi w:val="0"/>
        <w:jc w:val="both"/>
        <w:spacing w:lineRule="auto" w:line="240"/>
        <w:ind w:firstLine="679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U slučaju proračunskog viška Odluku o raspoređivanju sredstava donosi Općinsko vijeće kod donošenja godišnjeg obračuna Proračuna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.</w:t>
      </w:r>
    </w:p>
    <w:p>
      <w:pPr>
        <w:widowControl w:val="0"/>
        <w:bidi w:val="0"/>
        <w:jc w:val="both"/>
        <w:spacing w:lineRule="auto" w:line="240"/>
        <w:ind w:firstLine="679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U slučaju nastanka proračunskog manjka Odluku o načinu njegovog pokrića donosi Općinsko vijeće kod donošenja godišnjeg obračuna Proračuna.</w:t>
      </w:r>
    </w:p>
    <w:p>
      <w:pPr>
        <w:widowControl w:val="0"/>
        <w:bidi w:val="0"/>
        <w:jc w:val="center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Članak 5.</w:t>
      </w:r>
    </w:p>
    <w:p>
      <w:pPr>
        <w:widowControl w:val="0"/>
        <w:bidi w:val="0"/>
        <w:jc w:val="both"/>
        <w:spacing w:lineRule="auto" w:line="240"/>
        <w:ind w:firstLine="708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Proračunski korisnici smiju preuzimati obveze najviše do visine sredstava planiranih u Posebnom dijelu Proračuna, sukladno godišnjem financijskom planu i dinamici ostvarenja prihoda Proračuna.</w:t>
      </w:r>
    </w:p>
    <w:p>
      <w:pPr>
        <w:widowControl w:val="0"/>
        <w:bidi w:val="0"/>
        <w:jc w:val="center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Članak 6.</w:t>
      </w:r>
    </w:p>
    <w:p>
      <w:pPr>
        <w:widowControl w:val="0"/>
        <w:bidi w:val="0"/>
        <w:jc w:val="both"/>
        <w:spacing w:lineRule="auto" w:line="240"/>
        <w:ind w:firstLine="708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Preuzimanje obveza na teret Proračuna po ugovorima koji zahtijevaju plaćanje u slijedećim godinama odobrava Općinski načelnik.</w:t>
      </w:r>
    </w:p>
    <w:p>
      <w:pPr>
        <w:widowControl w:val="0"/>
        <w:bidi w:val="0"/>
        <w:jc w:val="center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Članak 7.</w:t>
      </w:r>
    </w:p>
    <w:p>
      <w:pPr>
        <w:widowControl w:val="0"/>
        <w:bidi w:val="0"/>
        <w:jc w:val="both"/>
        <w:spacing w:lineRule="auto" w:line="240"/>
        <w:ind w:firstLine="708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Sredstva se proračunskim korisnicima stavljaju na raspolaganje na njihov zahtjev uz uvjet da je namjena sredstava odobrena u Proračunu, te da je iznos stvorene obveze u visini odobrenog iznosa.</w:t>
      </w:r>
    </w:p>
    <w:p>
      <w:pPr>
        <w:widowControl w:val="0"/>
        <w:bidi w:val="0"/>
        <w:jc w:val="both"/>
        <w:spacing w:lineRule="auto" w:line="240"/>
        <w:ind w:firstLine="708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Nadležna osoba za odobravanje sredstava iz stavka 1. ovog članka je Općinski načelnik, odnosno osoba koju on ovlasti.</w:t>
      </w:r>
    </w:p>
    <w:p>
      <w:pPr>
        <w:widowControl w:val="0"/>
        <w:bidi w:val="0"/>
        <w:jc w:val="center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Članak 8.</w:t>
      </w:r>
    </w:p>
    <w:p>
      <w:pPr>
        <w:widowControl w:val="0"/>
        <w:bidi w:val="0"/>
        <w:jc w:val="both"/>
        <w:spacing w:lineRule="auto" w:line="240"/>
        <w:ind w:firstLine="709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Odgovorna osoba za planiranje i izvršavanje Proračuna u cjelini je Općinski načelnik. </w:t>
      </w:r>
    </w:p>
    <w:p>
      <w:pPr>
        <w:widowControl w:val="0"/>
        <w:bidi w:val="0"/>
        <w:jc w:val="both"/>
        <w:spacing w:lineRule="auto" w:line="240"/>
        <w:ind w:firstLine="709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Odgovornost za izvršavanje Proračuna u smislu stavka 1. ovog članka podrazumijeva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odgovornost za preuzimanje i verifikaciju obveza, izdavanje naloga za plaćanje na teret proračunskih sredstava, te za utvrđivanje naplate i izdavanje naloga za naplatu u korist proračunskih sredstava.</w:t>
      </w:r>
    </w:p>
    <w:p>
      <w:pPr>
        <w:widowControl w:val="0"/>
        <w:bidi w:val="0"/>
        <w:jc w:val="both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</w:p>
    <w:p>
      <w:pPr>
        <w:widowControl w:val="0"/>
        <w:bidi w:val="0"/>
        <w:jc w:val="both"/>
        <w:spacing w:lineRule="auto" w:line="24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III.  PRIHODI PRORAČUNA</w:t>
      </w:r>
    </w:p>
    <w:p>
      <w:pPr>
        <w:widowControl w:val="0"/>
        <w:bidi w:val="0"/>
        <w:jc w:val="center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Članak 9.</w:t>
      </w:r>
    </w:p>
    <w:p>
      <w:pPr>
        <w:widowControl w:val="0"/>
        <w:bidi w:val="0"/>
        <w:jc w:val="both"/>
        <w:spacing w:lineRule="auto" w:line="240"/>
        <w:ind w:firstLine="679" w:left="0" w:right="-6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Prihodi Proračuna ubiru se i uplaćuju u Proračun u skladu sa Zakonom i drugim propisima.</w:t>
      </w:r>
    </w:p>
    <w:p>
      <w:pPr>
        <w:widowControl w:val="0"/>
        <w:bidi w:val="0"/>
        <w:jc w:val="center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Članak 10.</w:t>
      </w:r>
    </w:p>
    <w:p>
      <w:pPr>
        <w:widowControl w:val="0"/>
        <w:bidi w:val="0"/>
        <w:jc w:val="both"/>
        <w:spacing w:lineRule="auto" w:line="240"/>
        <w:ind w:firstLine="679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Sredstva drugih proračuna namijenjena za financiranje proračunskih korisnika Općine uplaćuju se u Proračun, a nakon uplate u Proračun sredstva se doznačuju proračunskim korisnicima sukladno financijskom planu utvrđenom u posebnom dijelu Proračunu.</w:t>
      </w:r>
    </w:p>
    <w:p>
      <w:pPr>
        <w:widowControl w:val="0"/>
        <w:bidi w:val="0"/>
        <w:jc w:val="center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Članak 11.</w:t>
      </w:r>
    </w:p>
    <w:p>
      <w:pPr>
        <w:widowControl w:val="0"/>
        <w:bidi w:val="0"/>
        <w:jc w:val="both"/>
        <w:spacing w:lineRule="auto" w:line="240"/>
        <w:ind w:left="68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Pogrešno ili više uplaćeni prihodi Proračuna, vraćaju se uplatiteljima na teret tih prihoda.</w:t>
      </w:r>
    </w:p>
    <w:p>
      <w:pPr>
        <w:widowControl w:val="0"/>
        <w:bidi w:val="0"/>
        <w:jc w:val="both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</w:p>
    <w:p>
      <w:pPr>
        <w:widowControl w:val="0"/>
        <w:bidi w:val="0"/>
        <w:jc w:val="both"/>
        <w:spacing w:lineRule="auto" w:line="24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IV.  ISPLATE SREDSTAVA IZ PRORAČUNA</w:t>
      </w:r>
    </w:p>
    <w:p>
      <w:pPr>
        <w:widowControl w:val="0"/>
        <w:bidi w:val="0"/>
        <w:jc w:val="center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Članak 12.</w:t>
      </w:r>
    </w:p>
    <w:p>
      <w:pPr>
        <w:widowControl w:val="0"/>
        <w:bidi w:val="0"/>
        <w:jc w:val="both"/>
        <w:spacing w:lineRule="auto" w:line="240"/>
        <w:ind w:firstLine="679" w:left="0" w:right="6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Rashodi i izdaci Proračuna koji se financiraju iz namjenskih prihoda i primitaka, izvršavat će se do iznosa naplaćenih prihoda i primitaka za određene namjene, odnosno najviše do iznosa planiranog u posebnom dijelu Proračuna.</w:t>
      </w:r>
    </w:p>
    <w:p>
      <w:pPr>
        <w:widowControl w:val="0"/>
        <w:bidi w:val="0"/>
        <w:jc w:val="center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Članak 13.</w:t>
      </w:r>
    </w:p>
    <w:p>
      <w:pPr>
        <w:widowControl w:val="0"/>
        <w:bidi w:val="0"/>
        <w:jc w:val="both"/>
        <w:spacing w:lineRule="auto" w:line="240"/>
        <w:ind w:firstLine="679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Sredstva za plaće i ostala prava zaposlenih u Jedinstvenom upravnom odjelu Općine, odobravat će Općinski načelnik.</w:t>
      </w:r>
    </w:p>
    <w:p>
      <w:pPr>
        <w:widowControl w:val="0"/>
        <w:bidi w:val="0"/>
        <w:jc w:val="center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Članak 14.</w:t>
      </w:r>
    </w:p>
    <w:p>
      <w:pPr>
        <w:widowControl w:val="0"/>
        <w:bidi w:val="0"/>
        <w:jc w:val="both"/>
        <w:spacing w:lineRule="auto" w:line="240"/>
        <w:ind w:firstLine="679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Raspored sredstava za financiranje javnih potreba Općine u pojedinim djelatnostima, odobrava Općinski načelnik na temelju programa javnih potreba koje utvrđuje Općinsko vijeće.</w:t>
      </w:r>
    </w:p>
    <w:p>
      <w:pPr>
        <w:widowControl w:val="0"/>
        <w:bidi w:val="0"/>
        <w:jc w:val="both"/>
        <w:spacing w:lineRule="auto" w:line="240"/>
        <w:ind w:firstLine="679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Naknade vijećnicima, članovima radnih tijela, Općinskom načelniku i njegovom zamjeniku raspoređivati će se na temelju Odluke Općinskog vijeća o naknada troškova vijećnicima, članovima radnih tijela, te Općinskom načelniku i njegovom zamjeniku.</w:t>
      </w:r>
    </w:p>
    <w:p>
      <w:pPr>
        <w:widowControl w:val="0"/>
        <w:bidi w:val="0"/>
        <w:jc w:val="center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Č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lanak 15.</w:t>
      </w:r>
    </w:p>
    <w:p>
      <w:pPr>
        <w:widowControl w:val="0"/>
        <w:bidi w:val="0"/>
        <w:jc w:val="both"/>
        <w:spacing w:lineRule="auto" w:line="240"/>
        <w:ind w:firstLine="746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Sredstva za rad udruga, ustanova, zaklada i zajednica koje nisu obuhvaćene programom javnih potreba, doznačivat će se na račune udruga, ustanova i zajednica na temelju odluke Općinskog načelnika.</w:t>
      </w:r>
    </w:p>
    <w:p>
      <w:pPr>
        <w:widowControl w:val="0"/>
        <w:bidi w:val="0"/>
        <w:jc w:val="both"/>
        <w:spacing w:lineRule="auto" w:line="240"/>
        <w:ind w:firstLine="679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Sredstva za pomoć socijalno ugroženim osobama, isplaćivat će se na temelju odluka Općinskog načelnika.</w:t>
      </w:r>
    </w:p>
    <w:p>
      <w:pPr>
        <w:widowControl w:val="0"/>
        <w:bidi w:val="0"/>
        <w:jc w:val="both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</w:p>
    <w:p>
      <w:pPr>
        <w:widowControl w:val="0"/>
        <w:bidi w:val="0"/>
        <w:jc w:val="center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Članak 16.</w:t>
      </w:r>
    </w:p>
    <w:p>
      <w:pPr>
        <w:widowControl w:val="0"/>
        <w:bidi w:val="0"/>
        <w:jc w:val="both"/>
        <w:spacing w:lineRule="auto" w:line="240"/>
        <w:ind w:firstLine="679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Postupak nabave roba, usluga i ustupanje radova, mora se provoditi sukladno Zakonu o javnoj nabavi i drugim propisima koji reguliraju postupak nabave roba, usluga i ustupanju radova.</w:t>
      </w:r>
    </w:p>
    <w:p>
      <w:pPr>
        <w:widowControl w:val="0"/>
        <w:bidi w:val="0"/>
        <w:jc w:val="center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Članak 17.</w:t>
      </w:r>
    </w:p>
    <w:p>
      <w:pPr>
        <w:widowControl w:val="0"/>
        <w:bidi w:val="0"/>
        <w:jc w:val="both"/>
        <w:spacing w:lineRule="auto" w:line="240"/>
        <w:ind w:firstLine="679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Plaćanje predujma moguće je samo iznimno, ako se nabava ne može realizirati bez plaćanja predujma, a plaćanje predujma odobrava Općinski načelnik.</w:t>
      </w:r>
    </w:p>
    <w:p>
      <w:pPr>
        <w:widowControl w:val="0"/>
        <w:bidi w:val="0"/>
        <w:jc w:val="both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</w:p>
    <w:p>
      <w:pPr>
        <w:widowControl w:val="0"/>
        <w:bidi w:val="0"/>
        <w:jc w:val="center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Članak 18.</w:t>
      </w:r>
    </w:p>
    <w:p>
      <w:pPr>
        <w:widowControl w:val="0"/>
        <w:bidi w:val="0"/>
        <w:jc w:val="both"/>
        <w:spacing w:lineRule="auto" w:line="240"/>
        <w:ind w:firstLine="679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Slobodna novčana sredstva Proračuna, mogu se polagati kod poslovne banke poštujući načela sigurnosti, likvidnosti i isplativosti ulaganja.</w:t>
      </w:r>
    </w:p>
    <w:p>
      <w:pPr>
        <w:widowControl w:val="0"/>
        <w:bidi w:val="0"/>
        <w:jc w:val="both"/>
        <w:spacing w:lineRule="auto" w:line="240"/>
        <w:ind w:firstLine="679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Ovlašćuje se Općinski načelnik da može sklapati i potpisivati ugovore za namjenu iz stavka 1. ovog članka.</w:t>
      </w:r>
    </w:p>
    <w:p>
      <w:pPr>
        <w:widowControl w:val="0"/>
        <w:bidi w:val="0"/>
        <w:jc w:val="center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Članak 19.</w:t>
      </w:r>
    </w:p>
    <w:p>
      <w:pPr>
        <w:widowControl w:val="0"/>
        <w:bidi w:val="0"/>
        <w:jc w:val="both"/>
        <w:spacing w:lineRule="auto" w:line="240"/>
        <w:ind w:firstLine="679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Postupak stjecanja i otuđenja nekretnina provodi se u skladu s važećim zakonskom propisima.</w:t>
      </w:r>
    </w:p>
    <w:p>
      <w:pPr>
        <w:widowControl w:val="0"/>
        <w:bidi w:val="0"/>
        <w:jc w:val="both"/>
        <w:spacing w:lineRule="auto" w:line="240"/>
        <w:ind w:firstLine="679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Nakon provedenog postupka, konačnu odluku o raspolaganju pokretninama i nekretninama iz stavka 1. ovog članka, donosi ovlašteno tijelo Općine ovisno o vrijednosti, a u skladu sa Zakonom o lokalnoj i područnoj (regionalnoj) samoupravi.</w:t>
      </w:r>
    </w:p>
    <w:p>
      <w:pPr>
        <w:widowControl w:val="0"/>
        <w:bidi w:val="0"/>
        <w:jc w:val="center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Članak 20.</w:t>
      </w:r>
    </w:p>
    <w:p>
      <w:pPr>
        <w:widowControl w:val="0"/>
        <w:bidi w:val="0"/>
        <w:jc w:val="both"/>
        <w:spacing w:lineRule="auto" w:line="240"/>
        <w:ind w:firstLine="679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Proračunska pričuva iznosi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 30.000,00 EUR,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 a koristiti će se za namjene propisane Zakonom o proračunu.</w:t>
      </w:r>
    </w:p>
    <w:p>
      <w:pPr>
        <w:widowControl w:val="0"/>
        <w:bidi w:val="0"/>
        <w:jc w:val="both"/>
        <w:spacing w:lineRule="auto" w:line="240"/>
        <w:ind w:left="68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O korištenju proračunske zalihe odlučuje Općinski načelnik.</w:t>
      </w:r>
    </w:p>
    <w:p>
      <w:pPr>
        <w:widowControl w:val="0"/>
        <w:bidi w:val="0"/>
        <w:jc w:val="both"/>
        <w:spacing w:lineRule="auto" w:line="240"/>
        <w:ind w:firstLine="679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O korištenju sredstava proračunske zalihe izvještava se sukladno odredbama Zakona o proračunu.</w:t>
      </w:r>
    </w:p>
    <w:p>
      <w:pPr>
        <w:widowControl w:val="0"/>
        <w:bidi w:val="0"/>
        <w:jc w:val="both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</w:p>
    <w:p>
      <w:pPr>
        <w:widowControl w:val="0"/>
        <w:bidi w:val="0"/>
        <w:jc w:val="both"/>
        <w:spacing w:lineRule="auto" w:line="24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V.  ZADUŽIVANJE I DAVANJE JAMSTVA</w:t>
      </w:r>
    </w:p>
    <w:p>
      <w:pPr>
        <w:widowControl w:val="0"/>
        <w:bidi w:val="0"/>
        <w:jc w:val="center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Članak 21.</w:t>
      </w:r>
    </w:p>
    <w:p>
      <w:pPr>
        <w:widowControl w:val="0"/>
        <w:bidi w:val="0"/>
        <w:jc w:val="both"/>
        <w:spacing w:lineRule="auto" w:line="240"/>
        <w:ind w:firstLine="708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Općina se može kratkoročno zadužiti najduže do 12 mjeseci samo za premošćivanje jaza nastalog zbog različite dinamike priljeva sredstava i dospijeća obveza u skladu sa zakonom kojim se uređuje proračun.</w:t>
      </w:r>
    </w:p>
    <w:p>
      <w:pPr>
        <w:widowControl w:val="0"/>
        <w:bidi w:val="0"/>
        <w:jc w:val="both"/>
        <w:spacing w:lineRule="auto" w:line="240"/>
        <w:ind w:firstLine="708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Odluku o kratkoročnom zaduživanju Općine iz stavka 1. ovog članka donosi Općinski načelnik.</w:t>
      </w:r>
      <w:bookmarkStart w:id="1" w:name="page4"/>
      <w:bookmarkEnd w:id="1"/>
    </w:p>
    <w:p>
      <w:pPr>
        <w:widowControl w:val="0"/>
        <w:bidi w:val="0"/>
        <w:jc w:val="both"/>
        <w:spacing w:lineRule="auto" w:line="240"/>
        <w:ind w:firstLine="708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Općina se može i dugoročno zadužiti. Dugoročno zaduživanje Općine na teret Proračuna, odobrava svojom odlukom Općinsko vijeće na prijedlog općinskog načelnika, samo za investiciju koja se financira iz proračuna, a u skladu sa Zakonom o proračunu.</w:t>
      </w:r>
    </w:p>
    <w:p>
      <w:pPr>
        <w:widowControl w:val="0"/>
        <w:bidi w:val="0"/>
        <w:jc w:val="center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Članak 22.</w:t>
      </w:r>
    </w:p>
    <w:p>
      <w:pPr>
        <w:widowControl w:val="0"/>
        <w:bidi w:val="0"/>
        <w:jc w:val="both"/>
        <w:spacing w:lineRule="auto" w:line="240"/>
        <w:ind w:firstLine="679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Pravna osoba u većinskom izravnom ili neizravnom vlasništvu Općine kao i ustanova čiji je osnivač Općina, može se dugoročno zadužiti samo za investiciju, uz suglasnost Općine sukladno Zakonu.</w:t>
      </w:r>
    </w:p>
    <w:p>
      <w:pPr>
        <w:widowControl w:val="0"/>
        <w:bidi w:val="0"/>
        <w:jc w:val="both"/>
        <w:spacing w:lineRule="auto" w:line="240"/>
        <w:ind w:firstLine="679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Općina može dati jamstvo pravnoj osobi u većinskom vlasništvu Općine kao i ustanovi čiji je osnivač sukladno Zakonu.</w:t>
      </w:r>
    </w:p>
    <w:p>
      <w:pPr>
        <w:widowControl w:val="0"/>
        <w:bidi w:val="0"/>
        <w:jc w:val="both"/>
        <w:spacing w:lineRule="auto" w:line="240"/>
        <w:ind w:left="68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Ugovore o jamstvu sklapa Općinski načelnik.</w:t>
      </w:r>
    </w:p>
    <w:p>
      <w:pPr>
        <w:widowControl w:val="0"/>
        <w:bidi w:val="0"/>
        <w:jc w:val="both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</w:p>
    <w:p>
      <w:pPr>
        <w:widowControl w:val="0"/>
        <w:bidi w:val="0"/>
        <w:jc w:val="both"/>
        <w:spacing w:lineRule="auto" w:line="24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VI.  URAVNOTEŽENJE PRORAČUNA I PRERASPODJELA SREDSTAVA</w:t>
      </w:r>
    </w:p>
    <w:p>
      <w:pPr>
        <w:widowControl w:val="0"/>
        <w:bidi w:val="0"/>
        <w:jc w:val="center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Članak 23.</w:t>
      </w:r>
    </w:p>
    <w:p>
      <w:pPr>
        <w:widowControl w:val="0"/>
        <w:bidi w:val="0"/>
        <w:jc w:val="both"/>
        <w:spacing w:lineRule="auto" w:line="240"/>
        <w:ind w:firstLine="679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Proračun Općine može se zbog izvanrednih prilika i potreba mijenjati i dopunjavati tijekom godine ako se</w:t>
      </w:r>
    </w:p>
    <w:p>
      <w:pPr>
        <w:widowControl w:val="0"/>
        <w:bidi w:val="0"/>
        <w:contextualSpacing w:val="1"/>
        <w:jc w:val="both"/>
        <w:ind w:hanging="360" w:left="1039" w:right="0"/>
        <w:numPr>
          <w:numId w:val="1"/>
        </w:numPr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prihodi ostvaruju u većim ili manjim iznosima od planiranih</w:t>
      </w:r>
    </w:p>
    <w:p>
      <w:pPr>
        <w:widowControl w:val="0"/>
        <w:bidi w:val="0"/>
        <w:contextualSpacing w:val="1"/>
        <w:jc w:val="both"/>
        <w:ind w:hanging="360" w:left="1039" w:right="0"/>
        <w:numPr>
          <w:numId w:val="1"/>
        </w:numPr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ako se planirani prihodi moraju uskladiti s povećanim ili smanjenim obujmom rashoda proračuna i</w:t>
      </w:r>
    </w:p>
    <w:p>
      <w:pPr>
        <w:widowControl w:val="0"/>
        <w:bidi w:val="0"/>
        <w:contextualSpacing w:val="1"/>
        <w:jc w:val="both"/>
        <w:ind w:hanging="360" w:left="1039" w:right="0"/>
        <w:numPr>
          <w:numId w:val="1"/>
        </w:numPr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ako u okviru ukupno planiranih proračunskih rashoda planirane proračunske rashode za pojedine namjene treba drugačije rasporediti.</w:t>
      </w:r>
    </w:p>
    <w:p>
      <w:pPr>
        <w:widowControl w:val="0"/>
        <w:bidi w:val="0"/>
        <w:jc w:val="center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Članak 24.</w:t>
      </w:r>
    </w:p>
    <w:p>
      <w:pPr>
        <w:widowControl w:val="0"/>
        <w:bidi w:val="0"/>
        <w:jc w:val="both"/>
        <w:spacing w:lineRule="auto" w:line="240"/>
        <w:ind w:firstLine="679" w:left="0" w:right="16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Preraspodjela sredstava na proračunskim stavkama može se izvršiti najviše do 5% rashoda i izdataka na prorač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unskoj stavci koja se umanjuje, a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ko to odobri Općinski načelnik.</w:t>
      </w:r>
    </w:p>
    <w:p>
      <w:pPr>
        <w:widowControl w:val="0"/>
        <w:bidi w:val="0"/>
        <w:jc w:val="both"/>
        <w:spacing w:lineRule="auto" w:line="240"/>
        <w:ind w:left="68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Općinski načelnik o preraspodjelama izvještava Općinsko vijeće u roku 90 dana.</w:t>
      </w:r>
    </w:p>
    <w:p>
      <w:pPr>
        <w:widowControl w:val="0"/>
        <w:bidi w:val="0"/>
        <w:jc w:val="both"/>
        <w:spacing w:lineRule="auto" w:line="240"/>
        <w:ind w:left="68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</w:p>
    <w:p>
      <w:pPr>
        <w:widowControl w:val="0"/>
        <w:bidi w:val="0"/>
        <w:jc w:val="both"/>
        <w:spacing w:lineRule="auto" w:line="24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VII.  ZAVRŠNE ODREDBE</w:t>
      </w:r>
    </w:p>
    <w:p>
      <w:pPr>
        <w:widowControl w:val="0"/>
        <w:bidi w:val="0"/>
        <w:jc w:val="center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Članak 25.</w:t>
      </w:r>
    </w:p>
    <w:p>
      <w:pPr>
        <w:widowControl w:val="0"/>
        <w:bidi w:val="0"/>
        <w:jc w:val="both"/>
        <w:spacing w:lineRule="auto" w:line="240"/>
        <w:ind w:firstLine="679" w:left="0" w:right="6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Ova Odluka objavit će se u „Službenom vjesniku Varaždinske županije“, a stupa na snagu 1. siječnja 202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6. godine.</w:t>
      </w:r>
    </w:p>
    <w:p>
      <w:pPr>
        <w:widowControl w:val="0"/>
        <w:bidi w:val="0"/>
        <w:jc w:val="both"/>
        <w:spacing w:lineRule="auto" w:line="240"/>
        <w:ind w:left="0" w:right="6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</w:p>
    <w:p>
      <w:pPr>
        <w:widowControl w:val="0"/>
        <w:bidi w:val="0"/>
        <w:jc w:val="center"/>
        <w:spacing w:lineRule="auto" w:line="240"/>
        <w:ind w:left="0" w:right="6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OPĆINSKO VIJEĆE OPĆINE SVETI ĐURĐ</w:t>
      </w:r>
    </w:p>
    <w:p>
      <w:pPr>
        <w:widowControl w:val="0"/>
        <w:bidi w:val="0"/>
        <w:jc w:val="both"/>
        <w:spacing w:lineRule="auto" w:line="240"/>
        <w:ind w:left="0" w:right="6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</w:p>
    <w:p>
      <w:pPr>
        <w:widowControl w:val="0"/>
        <w:bidi w:val="0"/>
        <w:jc w:val="right"/>
        <w:spacing w:lineRule="auto" w:line="240"/>
        <w:ind w:firstLine="5529" w:left="0" w:right="6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Predsjednik Općinskog vijeća</w:t>
      </w:r>
    </w:p>
    <w:p>
      <w:pPr>
        <w:widowControl w:val="0"/>
        <w:bidi w:val="0"/>
        <w:jc w:val="right"/>
        <w:spacing w:lineRule="auto" w:line="240"/>
        <w:ind w:firstLine="5529" w:left="0" w:right="6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D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avor Kraljić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sectPr>
      <w:headerReference w:type="first" r:id="header1"/>
      <w:headerReference w:type="default" r:id="header2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0">
    <w:nsid w:val="00000001"/>
    <w:multiLevelType w:val="hybridMultilevel"/>
    <w:lvl w:ilvl="0" w:tplc="70f3dd70">
      <w:start w:val="0"/>
      <w:numFmt w:val="bullet"/>
      <w:suff w:val="tab"/>
      <w:lvlText w:val="-"/>
      <w:lvlJc w:val="left"/>
      <w:pPr>
        <w:spacing w:lineRule="auto" w:line="240"/>
        <w:ind w:hanging="360" w:left="1039"/>
      </w:pPr>
      <w:rPr>
        <w:rFonts w:ascii="Times New Roman" w:hAnsi="Times New Roman"/>
      </w:rPr>
    </w:lvl>
    <w:lvl w:ilvl="1" w:tplc="041a0003">
      <w:start w:val="1"/>
      <w:numFmt w:val="bullet"/>
      <w:suff w:val="tab"/>
      <w:lvlText w:val="o"/>
      <w:lvlJc w:val="left"/>
      <w:pPr>
        <w:spacing w:lineRule="auto" w:line="240"/>
        <w:ind w:hanging="360" w:left="1759"/>
      </w:pPr>
      <w:rPr>
        <w:rFonts w:ascii="Courier New" w:hAnsi="Courier New"/>
      </w:rPr>
    </w:lvl>
    <w:lvl w:ilvl="2" w:tplc="041a0005">
      <w:start w:val="1"/>
      <w:numFmt w:val="bullet"/>
      <w:suff w:val="tab"/>
      <w:lvlText w:val=""/>
      <w:lvlJc w:val="left"/>
      <w:pPr>
        <w:spacing w:lineRule="auto" w:line="240"/>
        <w:ind w:hanging="360" w:left="2479"/>
      </w:pPr>
      <w:rPr>
        <w:rFonts w:ascii="Wingdings" w:hAnsi="Wingdings"/>
      </w:rPr>
    </w:lvl>
    <w:lvl w:ilvl="3" w:tplc="041a0001">
      <w:start w:val="1"/>
      <w:numFmt w:val="bullet"/>
      <w:suff w:val="tab"/>
      <w:lvlText w:val=""/>
      <w:lvlJc w:val="left"/>
      <w:pPr>
        <w:spacing w:lineRule="auto" w:line="240"/>
        <w:ind w:hanging="360" w:left="3199"/>
      </w:pPr>
      <w:rPr>
        <w:rFonts w:ascii="Symbol" w:hAnsi="Symbol"/>
      </w:rPr>
    </w:lvl>
    <w:lvl w:ilvl="4" w:tplc="041a0003">
      <w:start w:val="1"/>
      <w:numFmt w:val="bullet"/>
      <w:suff w:val="tab"/>
      <w:lvlText w:val="o"/>
      <w:lvlJc w:val="left"/>
      <w:pPr>
        <w:spacing w:lineRule="auto" w:line="240"/>
        <w:ind w:hanging="360" w:left="3919"/>
      </w:pPr>
      <w:rPr>
        <w:rFonts w:ascii="Courier New" w:hAnsi="Courier New"/>
      </w:rPr>
    </w:lvl>
    <w:lvl w:ilvl="5" w:tplc="041a0005">
      <w:start w:val="1"/>
      <w:numFmt w:val="bullet"/>
      <w:suff w:val="tab"/>
      <w:lvlText w:val=""/>
      <w:lvlJc w:val="left"/>
      <w:pPr>
        <w:spacing w:lineRule="auto" w:line="240"/>
        <w:ind w:hanging="360" w:left="4639"/>
      </w:pPr>
      <w:rPr>
        <w:rFonts w:ascii="Wingdings" w:hAnsi="Wingdings"/>
      </w:rPr>
    </w:lvl>
    <w:lvl w:ilvl="6" w:tplc="041a0001">
      <w:start w:val="1"/>
      <w:numFmt w:val="bullet"/>
      <w:suff w:val="tab"/>
      <w:lvlText w:val=""/>
      <w:lvlJc w:val="left"/>
      <w:pPr>
        <w:spacing w:lineRule="auto" w:line="240"/>
        <w:ind w:hanging="360" w:left="5359"/>
      </w:pPr>
      <w:rPr>
        <w:rFonts w:ascii="Symbol" w:hAnsi="Symbol"/>
      </w:rPr>
    </w:lvl>
    <w:lvl w:ilvl="7" w:tplc="041a0003">
      <w:start w:val="1"/>
      <w:numFmt w:val="bullet"/>
      <w:suff w:val="tab"/>
      <w:lvlText w:val="o"/>
      <w:lvlJc w:val="left"/>
      <w:pPr>
        <w:spacing w:lineRule="auto" w:line="240"/>
        <w:ind w:hanging="360" w:left="6079"/>
      </w:pPr>
      <w:rPr>
        <w:rFonts w:ascii="Courier New" w:hAnsi="Courier New"/>
      </w:rPr>
    </w:lvl>
    <w:lvl w:ilvl="8" w:tplc="041a0005">
      <w:start w:val="1"/>
      <w:numFmt w:val="bullet"/>
      <w:suff w:val="tab"/>
      <w:lvlText w:val=""/>
      <w:lvlJc w:val="left"/>
      <w:pPr>
        <w:spacing w:lineRule="auto" w:line="240"/>
        <w:ind w:hanging="360" w:left="6799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paragraph" w:styleId="P2">
    <w:name w:val="List Paragraph"/>
    <w:basedOn w:val="P0"/>
    <w:pPr>
      <w:spacing w:lineRule="auto" w:line="240"/>
    </w:pPr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  <w:qFormat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_rels/header2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2025-12-23T09:02:40Z</dcterms:created>
  <dcterms:modified xsi:type="dcterms:W3CDTF">2025-12-23T09:02:40Z</dcterms:modified>
</cp:coreProperties>
</file>